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6182" w:rsidRPr="008B40E9" w:rsidRDefault="008B40E9" w:rsidP="005D6182">
      <w:pPr>
        <w:rPr>
          <w:bCs/>
        </w:rPr>
      </w:pPr>
      <w:r>
        <w:rPr>
          <w:noProof/>
        </w:rPr>
        <w:drawing>
          <wp:anchor distT="0" distB="0" distL="114300" distR="114300" simplePos="0" relativeHeight="251657728" behindDoc="0" locked="0" layoutInCell="1" allowOverlap="1">
            <wp:simplePos x="0" y="0"/>
            <wp:positionH relativeFrom="column">
              <wp:posOffset>1967865</wp:posOffset>
            </wp:positionH>
            <wp:positionV relativeFrom="paragraph">
              <wp:posOffset>-4445</wp:posOffset>
            </wp:positionV>
            <wp:extent cx="1295400" cy="1019175"/>
            <wp:effectExtent l="19050" t="0" r="0" b="0"/>
            <wp:wrapNone/>
            <wp:docPr id="24" name="Image 1" descr="Description : Description : Logo IFORD -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IFORD - Couleur"/>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019175"/>
                    </a:xfrm>
                    <a:prstGeom prst="rect">
                      <a:avLst/>
                    </a:prstGeom>
                    <a:noFill/>
                  </pic:spPr>
                </pic:pic>
              </a:graphicData>
            </a:graphic>
          </wp:anchor>
        </w:drawing>
      </w:r>
      <w:r w:rsidRPr="008B40E9">
        <w:rPr>
          <w:noProof/>
        </w:rPr>
        <w:drawing>
          <wp:inline distT="0" distB="0" distL="0" distR="0">
            <wp:extent cx="1247775" cy="1019175"/>
            <wp:effectExtent l="19050" t="0" r="9525" b="0"/>
            <wp:docPr id="26" name="Image 34" descr="Résultat de recherche d'images pour &quot;logo minepat camerou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minepat cameroun&quot;"/>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inline>
        </w:drawing>
      </w:r>
      <w:r>
        <w:rPr>
          <w:bCs/>
        </w:rPr>
        <w:tab/>
      </w:r>
      <w:r>
        <w:rPr>
          <w:bCs/>
        </w:rPr>
        <w:tab/>
      </w:r>
      <w:r>
        <w:rPr>
          <w:bCs/>
        </w:rPr>
        <w:tab/>
      </w:r>
      <w:r>
        <w:rPr>
          <w:bCs/>
        </w:rPr>
        <w:tab/>
      </w:r>
      <w:r>
        <w:rPr>
          <w:bCs/>
        </w:rPr>
        <w:tab/>
      </w:r>
      <w:r>
        <w:rPr>
          <w:bCs/>
        </w:rPr>
        <w:tab/>
      </w:r>
      <w:r>
        <w:rPr>
          <w:bCs/>
        </w:rPr>
        <w:tab/>
      </w:r>
      <w:r w:rsidRPr="008B40E9">
        <w:rPr>
          <w:rFonts w:ascii="Verdana" w:hAnsi="Verdana" w:cs="Verdana"/>
          <w:noProof/>
          <w:color w:val="666666"/>
          <w:sz w:val="17"/>
          <w:szCs w:val="17"/>
        </w:rPr>
        <w:drawing>
          <wp:inline distT="0" distB="0" distL="0" distR="0">
            <wp:extent cx="1171575" cy="819150"/>
            <wp:effectExtent l="0" t="0" r="9525" b="0"/>
            <wp:docPr id="2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0"/>
                    <a:stretch>
                      <a:fillRect/>
                    </a:stretch>
                  </pic:blipFill>
                  <pic:spPr>
                    <a:xfrm>
                      <a:off x="0" y="0"/>
                      <a:ext cx="1238496" cy="865940"/>
                    </a:xfrm>
                    <a:prstGeom prst="rect">
                      <a:avLst/>
                    </a:prstGeom>
                  </pic:spPr>
                </pic:pic>
              </a:graphicData>
            </a:graphic>
          </wp:inline>
        </w:drawing>
      </w:r>
    </w:p>
    <w:p w:rsidR="001251FF" w:rsidRPr="00334E58" w:rsidRDefault="008B40E9" w:rsidP="008B40E9">
      <w:pPr>
        <w:rPr>
          <w:rFonts w:ascii="Rockwell Extra Bold" w:hAnsi="Rockwell Extra Bold" w:cs="Rockwell Extra Bold"/>
          <w:sz w:val="20"/>
          <w:szCs w:val="20"/>
        </w:rPr>
      </w:pPr>
      <w:bookmarkStart w:id="0" w:name="OLE_LINK1"/>
      <w:bookmarkStart w:id="1" w:name="OLE_LINK2"/>
      <w:r>
        <w:rPr>
          <w:noProof/>
          <w:lang w:val="fr-CA" w:eastAsia="fr-CA"/>
        </w:rPr>
        <w:tab/>
      </w:r>
      <w:r>
        <w:rPr>
          <w:noProof/>
          <w:lang w:val="fr-CA" w:eastAsia="fr-CA"/>
        </w:rPr>
        <w:tab/>
      </w:r>
      <w:r>
        <w:rPr>
          <w:noProof/>
          <w:lang w:val="fr-CA" w:eastAsia="fr-CA"/>
        </w:rPr>
        <w:tab/>
      </w:r>
      <w:r>
        <w:rPr>
          <w:noProof/>
          <w:lang w:val="fr-CA" w:eastAsia="fr-CA"/>
        </w:rPr>
        <w:tab/>
      </w:r>
      <w:r>
        <w:rPr>
          <w:noProof/>
          <w:lang w:val="fr-CA" w:eastAsia="fr-CA"/>
        </w:rPr>
        <w:tab/>
      </w:r>
    </w:p>
    <w:bookmarkEnd w:id="0"/>
    <w:bookmarkEnd w:id="1"/>
    <w:p w:rsidR="001251FF" w:rsidRDefault="001251FF" w:rsidP="00B63E0F"/>
    <w:p w:rsidR="008B40E9" w:rsidRDefault="008B40E9" w:rsidP="00B63E0F"/>
    <w:p w:rsidR="008B40E9" w:rsidRDefault="008B40E9" w:rsidP="00B63E0F"/>
    <w:p w:rsidR="008B40E9" w:rsidRDefault="008B40E9" w:rsidP="00B63E0F">
      <w:bookmarkStart w:id="2" w:name="_GoBack"/>
      <w:bookmarkEnd w:id="2"/>
    </w:p>
    <w:p w:rsidR="008B40E9" w:rsidRDefault="008B40E9" w:rsidP="00B63E0F"/>
    <w:p w:rsidR="008B40E9" w:rsidRDefault="008B40E9" w:rsidP="00B63E0F"/>
    <w:p w:rsidR="008B40E9" w:rsidRDefault="008B40E9" w:rsidP="00B63E0F"/>
    <w:p w:rsidR="008B40E9" w:rsidRDefault="008B40E9" w:rsidP="00B63E0F"/>
    <w:p w:rsidR="008B40E9" w:rsidRDefault="008B40E9" w:rsidP="00B63E0F"/>
    <w:p w:rsidR="008B40E9" w:rsidRDefault="008B40E9" w:rsidP="00B63E0F"/>
    <w:p w:rsidR="008B40E9" w:rsidRDefault="008B40E9" w:rsidP="00B63E0F"/>
    <w:p w:rsidR="008B40E9" w:rsidRDefault="008B40E9" w:rsidP="00B63E0F"/>
    <w:p w:rsidR="008B40E9" w:rsidRDefault="008B40E9" w:rsidP="00B63E0F"/>
    <w:p w:rsidR="008B40E9" w:rsidRDefault="008B40E9" w:rsidP="00B63E0F"/>
    <w:p w:rsidR="008B40E9" w:rsidRPr="008B40E9" w:rsidRDefault="006D4947" w:rsidP="008B40E9">
      <w:pPr>
        <w:autoSpaceDE w:val="0"/>
        <w:autoSpaceDN w:val="0"/>
        <w:adjustRightInd w:val="0"/>
        <w:jc w:val="center"/>
        <w:rPr>
          <w:rFonts w:ascii="Arial Black" w:hAnsi="Arial Black"/>
          <w:b/>
          <w:bCs/>
          <w:lang w:val="pt-PT"/>
        </w:rPr>
      </w:pPr>
      <w:r>
        <w:rPr>
          <w:rFonts w:ascii="Arial Black" w:hAnsi="Arial Black"/>
          <w:b/>
          <w:bCs/>
          <w:lang w:val="pt-PT"/>
        </w:rPr>
        <w:t xml:space="preserve">DYNAMIQUE </w:t>
      </w:r>
      <w:r w:rsidR="008B40E9" w:rsidRPr="008B40E9">
        <w:rPr>
          <w:rFonts w:ascii="Arial Black" w:hAnsi="Arial Black"/>
          <w:b/>
          <w:bCs/>
          <w:lang w:val="pt-PT"/>
        </w:rPr>
        <w:t xml:space="preserve">DE LA POPULATION ET </w:t>
      </w:r>
      <w:r w:rsidR="00FA5C1F">
        <w:rPr>
          <w:rFonts w:ascii="Arial Black" w:hAnsi="Arial Black"/>
          <w:b/>
          <w:bCs/>
          <w:lang w:val="pt-PT"/>
        </w:rPr>
        <w:t>CROISSANCE</w:t>
      </w:r>
      <w:r w:rsidR="008B40E9" w:rsidRPr="008B40E9">
        <w:rPr>
          <w:rFonts w:ascii="Arial Black" w:hAnsi="Arial Black"/>
          <w:b/>
          <w:bCs/>
          <w:lang w:val="pt-PT"/>
        </w:rPr>
        <w:t xml:space="preserve"> ECONOMIQUE AU CAMEROUN</w:t>
      </w:r>
    </w:p>
    <w:p w:rsidR="008B40E9" w:rsidRDefault="008B40E9" w:rsidP="00B63E0F">
      <w:pPr>
        <w:autoSpaceDE w:val="0"/>
        <w:autoSpaceDN w:val="0"/>
        <w:adjustRightInd w:val="0"/>
        <w:rPr>
          <w:b/>
          <w:bCs/>
          <w:lang w:val="pt-PT"/>
        </w:rPr>
      </w:pPr>
    </w:p>
    <w:p w:rsidR="008B40E9" w:rsidRDefault="008B40E9" w:rsidP="00B63E0F">
      <w:pPr>
        <w:autoSpaceDE w:val="0"/>
        <w:autoSpaceDN w:val="0"/>
        <w:adjustRightInd w:val="0"/>
        <w:rPr>
          <w:b/>
          <w:bCs/>
          <w:lang w:val="pt-PT"/>
        </w:rPr>
      </w:pPr>
    </w:p>
    <w:p w:rsidR="001251FF" w:rsidRPr="008B40E9" w:rsidRDefault="008B40E9" w:rsidP="008B40E9">
      <w:pPr>
        <w:autoSpaceDE w:val="0"/>
        <w:autoSpaceDN w:val="0"/>
        <w:adjustRightInd w:val="0"/>
        <w:jc w:val="center"/>
        <w:rPr>
          <w:rFonts w:ascii="Arial" w:hAnsi="Arial" w:cs="Arial"/>
          <w:b/>
          <w:bCs/>
          <w:lang w:val="pt-PT"/>
        </w:rPr>
      </w:pPr>
      <w:r w:rsidRPr="008B40E9">
        <w:rPr>
          <w:rFonts w:ascii="Arial" w:hAnsi="Arial" w:cs="Arial"/>
          <w:b/>
          <w:bCs/>
          <w:lang w:val="pt-PT"/>
        </w:rPr>
        <w:t>RAPPORT SUR LA MODELISATION DU DIVIDENDE DEMOGRAPHIQUEAU CAMEROU</w:t>
      </w:r>
      <w:r>
        <w:rPr>
          <w:rFonts w:ascii="Arial" w:hAnsi="Arial" w:cs="Arial"/>
          <w:b/>
          <w:bCs/>
          <w:lang w:val="pt-PT"/>
        </w:rPr>
        <w:t>N</w:t>
      </w:r>
    </w:p>
    <w:p w:rsidR="001251FF" w:rsidRPr="007B3A5A" w:rsidRDefault="001251FF" w:rsidP="00B63E0F">
      <w:pPr>
        <w:autoSpaceDE w:val="0"/>
        <w:autoSpaceDN w:val="0"/>
        <w:adjustRightInd w:val="0"/>
        <w:rPr>
          <w:b/>
          <w:bCs/>
          <w:lang w:val="pt-PT"/>
        </w:rPr>
      </w:pPr>
    </w:p>
    <w:p w:rsidR="001251FF" w:rsidRPr="007B3A5A" w:rsidRDefault="001251FF" w:rsidP="00B63E0F">
      <w:pPr>
        <w:autoSpaceDE w:val="0"/>
        <w:autoSpaceDN w:val="0"/>
        <w:adjustRightInd w:val="0"/>
        <w:rPr>
          <w:b/>
          <w:bCs/>
          <w:lang w:val="pt-PT"/>
        </w:rPr>
      </w:pPr>
    </w:p>
    <w:p w:rsidR="001251FF" w:rsidRDefault="001251FF" w:rsidP="00B63E0F">
      <w:pPr>
        <w:autoSpaceDE w:val="0"/>
        <w:autoSpaceDN w:val="0"/>
        <w:adjustRightInd w:val="0"/>
        <w:rPr>
          <w:b/>
          <w:bCs/>
          <w:lang w:val="pt-PT"/>
        </w:rPr>
      </w:pPr>
    </w:p>
    <w:p w:rsidR="00DE032D" w:rsidRDefault="00DE032D" w:rsidP="00B63E0F">
      <w:pPr>
        <w:autoSpaceDE w:val="0"/>
        <w:autoSpaceDN w:val="0"/>
        <w:adjustRightInd w:val="0"/>
        <w:rPr>
          <w:b/>
          <w:bCs/>
          <w:lang w:val="pt-PT"/>
        </w:rPr>
      </w:pPr>
    </w:p>
    <w:p w:rsidR="00DE032D" w:rsidRDefault="002B6037" w:rsidP="002B6037">
      <w:pPr>
        <w:autoSpaceDE w:val="0"/>
        <w:autoSpaceDN w:val="0"/>
        <w:adjustRightInd w:val="0"/>
        <w:jc w:val="center"/>
        <w:rPr>
          <w:b/>
          <w:bCs/>
          <w:lang w:val="pt-PT"/>
        </w:rPr>
      </w:pPr>
      <w:r>
        <w:rPr>
          <w:b/>
          <w:bCs/>
          <w:lang w:val="pt-PT"/>
        </w:rPr>
        <w:t>Dr Franklin BOUBA DJOURDEBBE</w:t>
      </w:r>
    </w:p>
    <w:p w:rsidR="00715FE9" w:rsidRDefault="00715FE9" w:rsidP="002B6037">
      <w:pPr>
        <w:autoSpaceDE w:val="0"/>
        <w:autoSpaceDN w:val="0"/>
        <w:adjustRightInd w:val="0"/>
        <w:jc w:val="center"/>
        <w:rPr>
          <w:b/>
          <w:bCs/>
          <w:lang w:val="pt-PT"/>
        </w:rPr>
      </w:pPr>
      <w:r>
        <w:rPr>
          <w:b/>
          <w:bCs/>
          <w:lang w:val="pt-PT"/>
        </w:rPr>
        <w:t>&amp;</w:t>
      </w:r>
    </w:p>
    <w:p w:rsidR="00715FE9" w:rsidRPr="007B3A5A" w:rsidRDefault="00715FE9" w:rsidP="002B6037">
      <w:pPr>
        <w:autoSpaceDE w:val="0"/>
        <w:autoSpaceDN w:val="0"/>
        <w:adjustRightInd w:val="0"/>
        <w:jc w:val="center"/>
        <w:rPr>
          <w:b/>
          <w:bCs/>
          <w:lang w:val="pt-PT"/>
        </w:rPr>
      </w:pPr>
      <w:r>
        <w:rPr>
          <w:b/>
          <w:bCs/>
          <w:lang w:val="pt-PT"/>
        </w:rPr>
        <w:t>Dr Jean-Bosco FIONG</w:t>
      </w:r>
    </w:p>
    <w:p w:rsidR="001251FF" w:rsidRPr="007B3A5A" w:rsidRDefault="001251FF" w:rsidP="00B63E0F">
      <w:pPr>
        <w:autoSpaceDE w:val="0"/>
        <w:autoSpaceDN w:val="0"/>
        <w:adjustRightInd w:val="0"/>
        <w:rPr>
          <w:b/>
          <w:bCs/>
          <w:lang w:val="pt-PT"/>
        </w:rPr>
      </w:pPr>
    </w:p>
    <w:p w:rsidR="001251FF" w:rsidRDefault="001251FF" w:rsidP="00B63E0F">
      <w:pPr>
        <w:autoSpaceDE w:val="0"/>
        <w:autoSpaceDN w:val="0"/>
        <w:adjustRightInd w:val="0"/>
        <w:rPr>
          <w:b/>
          <w:bCs/>
          <w:lang w:val="pt-PT"/>
        </w:rPr>
      </w:pPr>
    </w:p>
    <w:p w:rsidR="00FA5C1F" w:rsidRDefault="00FA5C1F" w:rsidP="00B63E0F">
      <w:pPr>
        <w:autoSpaceDE w:val="0"/>
        <w:autoSpaceDN w:val="0"/>
        <w:adjustRightInd w:val="0"/>
        <w:rPr>
          <w:b/>
          <w:bCs/>
          <w:lang w:val="pt-PT"/>
        </w:rPr>
      </w:pPr>
    </w:p>
    <w:p w:rsidR="00FA5C1F" w:rsidRDefault="00FA5C1F" w:rsidP="00B63E0F">
      <w:pPr>
        <w:autoSpaceDE w:val="0"/>
        <w:autoSpaceDN w:val="0"/>
        <w:adjustRightInd w:val="0"/>
        <w:rPr>
          <w:b/>
          <w:bCs/>
          <w:lang w:val="pt-PT"/>
        </w:rPr>
      </w:pPr>
    </w:p>
    <w:p w:rsidR="00FA5C1F" w:rsidRDefault="00FA5C1F" w:rsidP="00B63E0F">
      <w:pPr>
        <w:autoSpaceDE w:val="0"/>
        <w:autoSpaceDN w:val="0"/>
        <w:adjustRightInd w:val="0"/>
        <w:rPr>
          <w:b/>
          <w:bCs/>
          <w:lang w:val="pt-PT"/>
        </w:rPr>
      </w:pPr>
    </w:p>
    <w:p w:rsidR="00FA5C1F" w:rsidRDefault="00FA5C1F" w:rsidP="00B63E0F">
      <w:pPr>
        <w:autoSpaceDE w:val="0"/>
        <w:autoSpaceDN w:val="0"/>
        <w:adjustRightInd w:val="0"/>
        <w:rPr>
          <w:b/>
          <w:bCs/>
          <w:lang w:val="pt-PT"/>
        </w:rPr>
      </w:pPr>
    </w:p>
    <w:p w:rsidR="00FA5C1F" w:rsidRDefault="00FA5C1F" w:rsidP="00B63E0F">
      <w:pPr>
        <w:autoSpaceDE w:val="0"/>
        <w:autoSpaceDN w:val="0"/>
        <w:adjustRightInd w:val="0"/>
        <w:rPr>
          <w:b/>
          <w:bCs/>
          <w:lang w:val="pt-PT"/>
        </w:rPr>
      </w:pPr>
    </w:p>
    <w:p w:rsidR="001251FF" w:rsidRDefault="001251FF" w:rsidP="00B63E0F">
      <w:pPr>
        <w:autoSpaceDE w:val="0"/>
        <w:autoSpaceDN w:val="0"/>
        <w:adjustRightInd w:val="0"/>
        <w:rPr>
          <w:b/>
          <w:bCs/>
          <w:lang w:val="pt-PT"/>
        </w:rPr>
      </w:pPr>
    </w:p>
    <w:p w:rsidR="003E2E2D" w:rsidRDefault="003E2E2D" w:rsidP="00B63E0F">
      <w:pPr>
        <w:autoSpaceDE w:val="0"/>
        <w:autoSpaceDN w:val="0"/>
        <w:adjustRightInd w:val="0"/>
        <w:rPr>
          <w:b/>
          <w:bCs/>
          <w:lang w:val="pt-PT"/>
        </w:rPr>
      </w:pPr>
    </w:p>
    <w:p w:rsidR="003E2E2D" w:rsidRDefault="003E2E2D" w:rsidP="00B63E0F">
      <w:pPr>
        <w:autoSpaceDE w:val="0"/>
        <w:autoSpaceDN w:val="0"/>
        <w:adjustRightInd w:val="0"/>
        <w:rPr>
          <w:b/>
          <w:bCs/>
          <w:lang w:val="pt-PT"/>
        </w:rPr>
      </w:pPr>
    </w:p>
    <w:p w:rsidR="001251FF" w:rsidRPr="007B3A5A" w:rsidRDefault="001251FF" w:rsidP="00B63E0F">
      <w:pPr>
        <w:autoSpaceDE w:val="0"/>
        <w:autoSpaceDN w:val="0"/>
        <w:adjustRightInd w:val="0"/>
        <w:rPr>
          <w:b/>
          <w:bCs/>
          <w:lang w:val="pt-PT"/>
        </w:rPr>
      </w:pPr>
    </w:p>
    <w:p w:rsidR="00094FA9" w:rsidRDefault="00094FA9" w:rsidP="00B63E0F">
      <w:pPr>
        <w:autoSpaceDE w:val="0"/>
        <w:autoSpaceDN w:val="0"/>
        <w:adjustRightInd w:val="0"/>
        <w:jc w:val="center"/>
        <w:rPr>
          <w:rFonts w:ascii="Tw Cen MT" w:hAnsi="Tw Cen MT" w:cs="Tw Cen MT"/>
          <w:b/>
          <w:bCs/>
        </w:rPr>
      </w:pPr>
    </w:p>
    <w:p w:rsidR="008B40E9" w:rsidRDefault="008B40E9" w:rsidP="00B63E0F">
      <w:pPr>
        <w:autoSpaceDE w:val="0"/>
        <w:autoSpaceDN w:val="0"/>
        <w:adjustRightInd w:val="0"/>
        <w:jc w:val="center"/>
        <w:rPr>
          <w:rFonts w:ascii="Tw Cen MT" w:hAnsi="Tw Cen MT" w:cs="Tw Cen MT"/>
          <w:b/>
          <w:bCs/>
        </w:rPr>
      </w:pPr>
    </w:p>
    <w:p w:rsidR="008E776A" w:rsidRDefault="001251FF" w:rsidP="005230A3">
      <w:pPr>
        <w:autoSpaceDE w:val="0"/>
        <w:autoSpaceDN w:val="0"/>
        <w:adjustRightInd w:val="0"/>
        <w:jc w:val="center"/>
        <w:rPr>
          <w:rFonts w:ascii="Tw Cen MT" w:hAnsi="Tw Cen MT" w:cs="Tw Cen MT"/>
          <w:b/>
          <w:bCs/>
        </w:rPr>
      </w:pPr>
      <w:r>
        <w:rPr>
          <w:rFonts w:ascii="Tw Cen MT" w:hAnsi="Tw Cen MT" w:cs="Tw Cen MT"/>
          <w:b/>
          <w:bCs/>
        </w:rPr>
        <w:t xml:space="preserve">Yaoundé, </w:t>
      </w:r>
      <w:r w:rsidR="00AF5320">
        <w:rPr>
          <w:rFonts w:ascii="Tw Cen MT" w:hAnsi="Tw Cen MT" w:cs="Tw Cen MT"/>
          <w:b/>
          <w:bCs/>
        </w:rPr>
        <w:t>mars</w:t>
      </w:r>
      <w:r w:rsidR="008E776A">
        <w:rPr>
          <w:rFonts w:ascii="Tw Cen MT" w:hAnsi="Tw Cen MT" w:cs="Tw Cen MT"/>
          <w:b/>
          <w:bCs/>
        </w:rPr>
        <w:t xml:space="preserve"> 2017</w:t>
      </w:r>
    </w:p>
    <w:p w:rsidR="006D4947" w:rsidRDefault="008E776A" w:rsidP="008E776A">
      <w:pPr>
        <w:pStyle w:val="Titre1"/>
        <w:spacing w:before="240" w:after="240"/>
        <w:jc w:val="both"/>
        <w:rPr>
          <w:rFonts w:ascii="Tw Cen MT" w:hAnsi="Tw Cen MT" w:cs="Tw Cen MT"/>
          <w:b w:val="0"/>
          <w:bCs w:val="0"/>
        </w:rPr>
      </w:pPr>
      <w:r>
        <w:rPr>
          <w:rFonts w:ascii="Tw Cen MT" w:hAnsi="Tw Cen MT" w:cs="Tw Cen MT"/>
          <w:b w:val="0"/>
          <w:bCs w:val="0"/>
        </w:rPr>
        <w:br w:type="page"/>
      </w:r>
    </w:p>
    <w:p w:rsidR="006D4947" w:rsidRDefault="006D4947" w:rsidP="008E776A">
      <w:pPr>
        <w:pStyle w:val="Titre1"/>
        <w:spacing w:before="240" w:after="240"/>
        <w:jc w:val="both"/>
        <w:rPr>
          <w:rFonts w:ascii="Times New Roman" w:hAnsi="Times New Roman" w:cs="Times New Roman"/>
        </w:rPr>
      </w:pPr>
    </w:p>
    <w:p w:rsidR="006D4947" w:rsidRDefault="006D4947" w:rsidP="008E776A">
      <w:pPr>
        <w:pStyle w:val="Titre1"/>
        <w:spacing w:before="240" w:after="240"/>
        <w:jc w:val="both"/>
        <w:rPr>
          <w:rFonts w:ascii="Times New Roman" w:hAnsi="Times New Roman" w:cs="Times New Roman"/>
        </w:rPr>
      </w:pPr>
    </w:p>
    <w:p w:rsidR="006D4947" w:rsidRDefault="006D4947" w:rsidP="008E776A">
      <w:pPr>
        <w:pStyle w:val="Titre1"/>
        <w:spacing w:before="240" w:after="240"/>
        <w:jc w:val="both"/>
        <w:rPr>
          <w:rFonts w:ascii="Times New Roman" w:hAnsi="Times New Roman" w:cs="Times New Roman"/>
        </w:rPr>
      </w:pPr>
    </w:p>
    <w:p w:rsidR="006D4947" w:rsidRDefault="006D4947" w:rsidP="008E776A">
      <w:pPr>
        <w:pStyle w:val="Titre1"/>
        <w:spacing w:before="240" w:after="240"/>
        <w:jc w:val="both"/>
        <w:rPr>
          <w:rFonts w:ascii="Times New Roman" w:hAnsi="Times New Roman" w:cs="Times New Roman"/>
        </w:rPr>
      </w:pPr>
    </w:p>
    <w:p w:rsidR="006D4947" w:rsidRDefault="006D4947" w:rsidP="008E776A">
      <w:pPr>
        <w:pStyle w:val="Titre1"/>
        <w:spacing w:before="240" w:after="240"/>
        <w:jc w:val="both"/>
        <w:rPr>
          <w:rFonts w:ascii="Times New Roman" w:hAnsi="Times New Roman" w:cs="Times New Roman"/>
        </w:rPr>
      </w:pPr>
    </w:p>
    <w:p w:rsidR="006D4947" w:rsidRDefault="006D4947" w:rsidP="008E776A">
      <w:pPr>
        <w:pStyle w:val="Titre1"/>
        <w:spacing w:before="240" w:after="240"/>
        <w:jc w:val="both"/>
        <w:rPr>
          <w:rFonts w:ascii="Times New Roman" w:hAnsi="Times New Roman" w:cs="Times New Roman"/>
        </w:rPr>
      </w:pPr>
    </w:p>
    <w:p w:rsidR="008E776A" w:rsidRPr="005643FE" w:rsidRDefault="005643FE" w:rsidP="005643FE">
      <w:pPr>
        <w:spacing w:line="360" w:lineRule="auto"/>
        <w:jc w:val="both"/>
        <w:rPr>
          <w:rFonts w:ascii="Tw Cen MT" w:hAnsi="Tw Cen MT" w:cs="Tw Cen MT"/>
          <w:b/>
          <w:bCs/>
        </w:rPr>
      </w:pPr>
      <w:bookmarkStart w:id="3" w:name="_Toc477184248"/>
      <w:bookmarkStart w:id="4" w:name="_Toc479008222"/>
      <w:r w:rsidRPr="005643FE">
        <w:t>CETTE ÉTUDE A ÉTÉ RÉALISÉE DANS LE CADRE DE L’ACCORD DE PARTENARIAT ENTRE LE MINISTÈRE DE L’ÉCONOMIE, DE LA PLANIFICATION ET DE L’AMÉNAGEMENT DU TERRITOIRE (MINEPAT) ET LE FONDS DES NATIONS UNIES POUR LA POPULATION (UNFPA) AVEC L'APPUI TECHNIQUE DE L’INSTITUT DE FORMATION ET DE RECHERCHE DÉMOGRAPHIQUES (IFORD).</w:t>
      </w:r>
      <w:bookmarkEnd w:id="3"/>
      <w:bookmarkEnd w:id="4"/>
    </w:p>
    <w:p w:rsidR="008E776A" w:rsidRDefault="008E776A">
      <w:pPr>
        <w:rPr>
          <w:rFonts w:ascii="Times New Roman Gras" w:hAnsi="Times New Roman Gras" w:cs="Times New Roman Gras"/>
          <w:b/>
          <w:bCs/>
          <w:smallCaps/>
          <w:color w:val="000000"/>
          <w:sz w:val="28"/>
          <w:szCs w:val="28"/>
        </w:rPr>
      </w:pPr>
      <w:bookmarkStart w:id="5" w:name="_Toc474777034"/>
      <w:r>
        <w:br w:type="page"/>
      </w:r>
    </w:p>
    <w:p w:rsidR="008E776A" w:rsidRDefault="008E776A" w:rsidP="008E776A">
      <w:pPr>
        <w:pStyle w:val="Titre1"/>
        <w:spacing w:after="0"/>
        <w:jc w:val="both"/>
      </w:pPr>
      <w:bookmarkStart w:id="6" w:name="_Toc479009905"/>
      <w:r>
        <w:lastRenderedPageBreak/>
        <w:t>Résumé</w:t>
      </w:r>
      <w:bookmarkEnd w:id="5"/>
      <w:bookmarkEnd w:id="6"/>
    </w:p>
    <w:p w:rsidR="00C179A4" w:rsidRDefault="00FC3CBA" w:rsidP="003F03FB">
      <w:pPr>
        <w:spacing w:before="120" w:line="276" w:lineRule="auto"/>
        <w:jc w:val="both"/>
        <w:rPr>
          <w:bCs/>
        </w:rPr>
      </w:pPr>
      <w:r>
        <w:rPr>
          <w:bCs/>
        </w:rPr>
        <w:t>U</w:t>
      </w:r>
      <w:r w:rsidR="00C179A4" w:rsidRPr="00C179A4">
        <w:rPr>
          <w:bCs/>
        </w:rPr>
        <w:t xml:space="preserve">ne </w:t>
      </w:r>
      <w:r w:rsidRPr="00C179A4">
        <w:rPr>
          <w:bCs/>
        </w:rPr>
        <w:t xml:space="preserve">rapide </w:t>
      </w:r>
      <w:r w:rsidR="00C179A4" w:rsidRPr="00C179A4">
        <w:rPr>
          <w:bCs/>
        </w:rPr>
        <w:t xml:space="preserve">modification de la structure </w:t>
      </w:r>
      <w:r w:rsidRPr="00C179A4">
        <w:rPr>
          <w:bCs/>
        </w:rPr>
        <w:t xml:space="preserve">par âge </w:t>
      </w:r>
      <w:r w:rsidR="00C179A4" w:rsidRPr="00C179A4">
        <w:rPr>
          <w:bCs/>
        </w:rPr>
        <w:t>de la population e</w:t>
      </w:r>
      <w:r>
        <w:rPr>
          <w:bCs/>
        </w:rPr>
        <w:t>n</w:t>
      </w:r>
      <w:r w:rsidR="00C179A4" w:rsidRPr="00C179A4">
        <w:rPr>
          <w:bCs/>
        </w:rPr>
        <w:t>t</w:t>
      </w:r>
      <w:r>
        <w:rPr>
          <w:bCs/>
        </w:rPr>
        <w:t>raînant</w:t>
      </w:r>
      <w:r w:rsidR="00C179A4" w:rsidRPr="00C179A4">
        <w:rPr>
          <w:bCs/>
        </w:rPr>
        <w:t xml:space="preserve"> une baisse des rapports de dépendance, l’on enregistre un potentiel de croissance économique stimulé par un accroissement des revenus des travailleurs et par une augmentation de l’épargne</w:t>
      </w:r>
      <w:r w:rsidR="007A19C5">
        <w:rPr>
          <w:bCs/>
        </w:rPr>
        <w:t xml:space="preserve"> de ces derniers</w:t>
      </w:r>
      <w:r w:rsidR="00C179A4" w:rsidRPr="00C179A4">
        <w:rPr>
          <w:bCs/>
        </w:rPr>
        <w:t>. Ce phénomène est connu sous l’appellation de « bonus démographique ». L’effet c</w:t>
      </w:r>
      <w:r w:rsidR="00C179A4">
        <w:rPr>
          <w:bCs/>
        </w:rPr>
        <w:t>ombiné de ce bonus</w:t>
      </w:r>
      <w:r w:rsidR="00C179A4" w:rsidRPr="00C179A4">
        <w:rPr>
          <w:bCs/>
        </w:rPr>
        <w:t xml:space="preserve"> et de politiques </w:t>
      </w:r>
      <w:r w:rsidR="003A64FE">
        <w:rPr>
          <w:bCs/>
        </w:rPr>
        <w:t xml:space="preserve">sectorielles </w:t>
      </w:r>
      <w:r w:rsidR="00C179A4" w:rsidRPr="00C179A4">
        <w:rPr>
          <w:bCs/>
        </w:rPr>
        <w:t>efficaces peut stimuler la croissance économique. La relation entre les changements démographiques et la croissance économique est le fait marquant des récentes décennies du fait des évolutions démographiques dans les pay</w:t>
      </w:r>
      <w:r w:rsidR="00194C60">
        <w:rPr>
          <w:bCs/>
        </w:rPr>
        <w:t xml:space="preserve">s en développement. Les pays africains </w:t>
      </w:r>
      <w:r w:rsidR="00C179A4" w:rsidRPr="00C179A4">
        <w:rPr>
          <w:bCs/>
        </w:rPr>
        <w:t xml:space="preserve">sont </w:t>
      </w:r>
      <w:r w:rsidR="00194C60">
        <w:rPr>
          <w:bCs/>
        </w:rPr>
        <w:t xml:space="preserve">en train d’amorcer une transition démographique, en passant </w:t>
      </w:r>
      <w:r w:rsidR="00194C60">
        <w:t>d’un régime traditionnel d’équilibre à mortalité et fécondité fortes, à un régime moderne d’équilibre à mortalité et fécondité faibles</w:t>
      </w:r>
      <w:r w:rsidR="00C179A4" w:rsidRPr="00C179A4">
        <w:rPr>
          <w:bCs/>
        </w:rPr>
        <w:t>, produisant une onde de choc qui se propage progressivement à travers toutes les générations de la pyramide des âges.</w:t>
      </w:r>
    </w:p>
    <w:p w:rsidR="003A64FE" w:rsidRDefault="00194C60" w:rsidP="003F03FB">
      <w:pPr>
        <w:spacing w:before="120" w:line="276" w:lineRule="auto"/>
        <w:jc w:val="both"/>
        <w:rPr>
          <w:bCs/>
        </w:rPr>
      </w:pPr>
      <w:r w:rsidRPr="00194C60">
        <w:rPr>
          <w:bCs/>
        </w:rPr>
        <w:t>Le dividende démographique peut être</w:t>
      </w:r>
      <w:r w:rsidR="00B37621">
        <w:rPr>
          <w:bCs/>
        </w:rPr>
        <w:t xml:space="preserve"> </w:t>
      </w:r>
      <w:r w:rsidRPr="00194C60">
        <w:rPr>
          <w:bCs/>
        </w:rPr>
        <w:t xml:space="preserve">défini comme </w:t>
      </w:r>
      <w:r w:rsidR="00FC3CBA">
        <w:rPr>
          <w:bCs/>
        </w:rPr>
        <w:t xml:space="preserve">le gain économique qu’un pays peut bénéficier lorsqu’il enregistre </w:t>
      </w:r>
      <w:r w:rsidRPr="00194C60">
        <w:rPr>
          <w:bCs/>
        </w:rPr>
        <w:t>une</w:t>
      </w:r>
      <w:r w:rsidR="00B37621">
        <w:rPr>
          <w:bCs/>
        </w:rPr>
        <w:t xml:space="preserve"> </w:t>
      </w:r>
      <w:r w:rsidRPr="00194C60">
        <w:rPr>
          <w:bCs/>
        </w:rPr>
        <w:t>proportion relativement grande de sa</w:t>
      </w:r>
      <w:r w:rsidR="00B37621">
        <w:rPr>
          <w:bCs/>
        </w:rPr>
        <w:t xml:space="preserve"> </w:t>
      </w:r>
      <w:r w:rsidRPr="00194C60">
        <w:rPr>
          <w:bCs/>
        </w:rPr>
        <w:t>populatio</w:t>
      </w:r>
      <w:r w:rsidR="00FC3CBA">
        <w:rPr>
          <w:bCs/>
        </w:rPr>
        <w:t>n en âge de travailler, suite à</w:t>
      </w:r>
      <w:r w:rsidRPr="00194C60">
        <w:rPr>
          <w:bCs/>
        </w:rPr>
        <w:t xml:space="preserve"> la baisse </w:t>
      </w:r>
      <w:r w:rsidR="003A64FE">
        <w:rPr>
          <w:bCs/>
        </w:rPr>
        <w:t>de la</w:t>
      </w:r>
      <w:r w:rsidRPr="00194C60">
        <w:rPr>
          <w:bCs/>
        </w:rPr>
        <w:t xml:space="preserve"> fécondité, </w:t>
      </w:r>
      <w:r w:rsidR="00FC3CBA">
        <w:rPr>
          <w:bCs/>
        </w:rPr>
        <w:t>à condition d’investir efficacement dans les domaines de la</w:t>
      </w:r>
      <w:r w:rsidRPr="00194C60">
        <w:rPr>
          <w:bCs/>
        </w:rPr>
        <w:t xml:space="preserve"> santé,</w:t>
      </w:r>
      <w:r w:rsidR="00B37621">
        <w:rPr>
          <w:bCs/>
        </w:rPr>
        <w:t xml:space="preserve"> </w:t>
      </w:r>
      <w:r w:rsidR="00FC3CBA">
        <w:rPr>
          <w:bCs/>
        </w:rPr>
        <w:t>de l’</w:t>
      </w:r>
      <w:r w:rsidRPr="00194C60">
        <w:rPr>
          <w:bCs/>
        </w:rPr>
        <w:t>éducation</w:t>
      </w:r>
      <w:r w:rsidR="00FC3CBA">
        <w:rPr>
          <w:bCs/>
        </w:rPr>
        <w:t xml:space="preserve">, </w:t>
      </w:r>
      <w:r w:rsidR="00773B9F">
        <w:rPr>
          <w:bCs/>
        </w:rPr>
        <w:t xml:space="preserve">de la gouvernance et </w:t>
      </w:r>
      <w:r w:rsidR="00FC3CBA">
        <w:rPr>
          <w:bCs/>
        </w:rPr>
        <w:t>de l’</w:t>
      </w:r>
      <w:r w:rsidRPr="00194C60">
        <w:rPr>
          <w:bCs/>
        </w:rPr>
        <w:t>emploi à travers l’action publique et</w:t>
      </w:r>
      <w:r w:rsidR="00B37621">
        <w:rPr>
          <w:bCs/>
        </w:rPr>
        <w:t xml:space="preserve"> </w:t>
      </w:r>
      <w:r w:rsidRPr="00194C60">
        <w:rPr>
          <w:bCs/>
        </w:rPr>
        <w:t>l’engagement du secteur privé.</w:t>
      </w:r>
      <w:r w:rsidR="00B37621">
        <w:rPr>
          <w:bCs/>
        </w:rPr>
        <w:t xml:space="preserve"> </w:t>
      </w:r>
      <w:r w:rsidRPr="00194C60">
        <w:rPr>
          <w:bCs/>
        </w:rPr>
        <w:t xml:space="preserve">L’importance capitale du dividende démographique pour le </w:t>
      </w:r>
      <w:r w:rsidR="00FC3CBA">
        <w:rPr>
          <w:bCs/>
        </w:rPr>
        <w:t>plein essor</w:t>
      </w:r>
      <w:r w:rsidRPr="00194C60">
        <w:rPr>
          <w:bCs/>
        </w:rPr>
        <w:t xml:space="preserve"> de l’Afrique a </w:t>
      </w:r>
      <w:r w:rsidR="002B6037" w:rsidRPr="00194C60">
        <w:rPr>
          <w:bCs/>
        </w:rPr>
        <w:t>été reconnue</w:t>
      </w:r>
      <w:r w:rsidRPr="00194C60">
        <w:rPr>
          <w:bCs/>
        </w:rPr>
        <w:t xml:space="preserve"> par l</w:t>
      </w:r>
      <w:r>
        <w:rPr>
          <w:bCs/>
        </w:rPr>
        <w:t>es pays</w:t>
      </w:r>
      <w:r w:rsidRPr="00194C60">
        <w:rPr>
          <w:bCs/>
        </w:rPr>
        <w:t xml:space="preserve"> africains</w:t>
      </w:r>
      <w:r>
        <w:rPr>
          <w:bCs/>
        </w:rPr>
        <w:t>.</w:t>
      </w:r>
    </w:p>
    <w:p w:rsidR="00194C60" w:rsidRDefault="00194C60" w:rsidP="003F03FB">
      <w:pPr>
        <w:spacing w:before="120" w:line="276" w:lineRule="auto"/>
        <w:jc w:val="both"/>
        <w:rPr>
          <w:bCs/>
        </w:rPr>
      </w:pPr>
      <w:r w:rsidRPr="003027C1">
        <w:rPr>
          <w:bCs/>
        </w:rPr>
        <w:t>Pou</w:t>
      </w:r>
      <w:r w:rsidR="00176C50" w:rsidRPr="003027C1">
        <w:rPr>
          <w:bCs/>
        </w:rPr>
        <w:t>r permettre au Cameroun d’apprécier le potentiel</w:t>
      </w:r>
      <w:r w:rsidR="00FC3CBA" w:rsidRPr="003027C1">
        <w:rPr>
          <w:bCs/>
        </w:rPr>
        <w:t xml:space="preserve"> du bénéfic</w:t>
      </w:r>
      <w:r w:rsidRPr="003027C1">
        <w:rPr>
          <w:bCs/>
        </w:rPr>
        <w:t>e du dividende démographique, à la suite de l'étude menée en 2012 sur les conditions du bénéfice du dividende démographique au Cameroun, le Ministère de l'Économie, de la Planification et de l'Aménagement du Territoire (MINEPAT), en partenariat avec le Fonds des Nations Unies pour la Population (UNFPA), a opté pour une modélisation DemDiv</w:t>
      </w:r>
      <w:r w:rsidR="003314ED" w:rsidRPr="003027C1">
        <w:rPr>
          <w:rStyle w:val="Appelnotedebasdep"/>
          <w:bCs/>
        </w:rPr>
        <w:footnoteReference w:id="2"/>
      </w:r>
      <w:r w:rsidRPr="003027C1">
        <w:rPr>
          <w:bCs/>
        </w:rPr>
        <w:t xml:space="preserve"> pour aider le Gouvernement à s'approprier l'approche "dividende démographique" en vue de l'accélération de la croissance économique du pays. Il a bénéficié pour ce faire de l'appui technique de l'Institut de Formation et de Recherche Démographiques (IFORD) pour conduire l'ét</w:t>
      </w:r>
      <w:r w:rsidR="00A94BEF" w:rsidRPr="003027C1">
        <w:rPr>
          <w:bCs/>
        </w:rPr>
        <w:t>ude sur la « </w:t>
      </w:r>
      <w:r w:rsidRPr="003027C1">
        <w:rPr>
          <w:bCs/>
        </w:rPr>
        <w:t>modélisation du divi</w:t>
      </w:r>
      <w:r w:rsidR="00A94BEF" w:rsidRPr="003027C1">
        <w:rPr>
          <w:bCs/>
        </w:rPr>
        <w:t>dende démographique au Cameroun »</w:t>
      </w:r>
      <w:r w:rsidRPr="003027C1">
        <w:rPr>
          <w:bCs/>
        </w:rPr>
        <w:t>. Cette modélisation se fonde sur l'hypothèse déjà vérifiée par des études antérieures que les changements de la structure de la population produisent un dividende à travers quatre méga-variables que sont l'économie, l'éducation, la santé et la gouvernance.</w:t>
      </w:r>
    </w:p>
    <w:p w:rsidR="00194C60" w:rsidRDefault="00194C60" w:rsidP="003F03FB">
      <w:pPr>
        <w:spacing w:before="120" w:line="276" w:lineRule="auto"/>
        <w:jc w:val="both"/>
      </w:pPr>
      <w:r w:rsidRPr="0075188A">
        <w:t xml:space="preserve">L’objectif de cette étude est de réaliser </w:t>
      </w:r>
      <w:r>
        <w:t>une</w:t>
      </w:r>
      <w:r w:rsidRPr="0075188A">
        <w:t xml:space="preserve"> modélisation </w:t>
      </w:r>
      <w:r w:rsidRPr="00631A33">
        <w:t xml:space="preserve">sur le dividende démographique </w:t>
      </w:r>
      <w:r w:rsidRPr="0075188A">
        <w:t xml:space="preserve">à partir des données collectées et validées de manière participative par les sectoriels, </w:t>
      </w:r>
      <w:r>
        <w:t>en vue</w:t>
      </w:r>
      <w:r w:rsidRPr="0075188A">
        <w:t xml:space="preserve"> de formuler des recommandations pour une meilleure appropriation du processus </w:t>
      </w:r>
      <w:r>
        <w:t>ainsi qu'une</w:t>
      </w:r>
      <w:r w:rsidRPr="0075188A">
        <w:t xml:space="preserve"> déclaration politique</w:t>
      </w:r>
      <w:r w:rsidR="00113CA8">
        <w:t xml:space="preserve"> </w:t>
      </w:r>
      <w:r>
        <w:t xml:space="preserve">sur le dividende démographique </w:t>
      </w:r>
      <w:r w:rsidRPr="00631A33">
        <w:t>au Cameroun</w:t>
      </w:r>
      <w:r>
        <w:t>.</w:t>
      </w:r>
    </w:p>
    <w:p w:rsidR="00E71C9F" w:rsidRDefault="0075188A" w:rsidP="003F03FB">
      <w:pPr>
        <w:spacing w:before="120" w:line="276" w:lineRule="auto"/>
        <w:jc w:val="both"/>
        <w:rPr>
          <w:bCs/>
        </w:rPr>
      </w:pPr>
      <w:r w:rsidRPr="0075188A">
        <w:lastRenderedPageBreak/>
        <w:t xml:space="preserve">Les principaux résultats de cette modélisation montrent </w:t>
      </w:r>
      <w:r w:rsidRPr="0075188A">
        <w:rPr>
          <w:bCs/>
        </w:rPr>
        <w:t xml:space="preserve">que </w:t>
      </w:r>
      <w:r w:rsidRPr="0075188A">
        <w:t>la fenêtre d’opportunité pour bénéficier du dividende démographique s’ouvrira</w:t>
      </w:r>
      <w:r w:rsidR="00F73900">
        <w:t>it</w:t>
      </w:r>
      <w:r w:rsidRPr="0075188A">
        <w:t xml:space="preserve"> au Cameroun vers 2021. En matière de santé, la mortalité va continuer à reculer. Ainsi</w:t>
      </w:r>
      <w:r w:rsidR="001C6510">
        <w:t>,</w:t>
      </w:r>
      <w:r w:rsidR="009A0B72">
        <w:t xml:space="preserve"> </w:t>
      </w:r>
      <w:r w:rsidR="002557FE">
        <w:t>de 2010 à</w:t>
      </w:r>
      <w:r w:rsidRPr="0075188A">
        <w:t xml:space="preserve"> 2035, le pays pourrait sauver des vies de </w:t>
      </w:r>
      <w:r w:rsidRPr="0075188A">
        <w:rPr>
          <w:bCs/>
        </w:rPr>
        <w:t xml:space="preserve">324 000 enfants de moins d’un an ; 500 000 enfants de moins de 5 ans ; et 72 000 femmes en âge de procréer ; augmenter l’espérance de vie à la naissance des femmes de 59 à 63 ans, et satisfaire ses besoins </w:t>
      </w:r>
      <w:r w:rsidR="004C13C2">
        <w:rPr>
          <w:bCs/>
        </w:rPr>
        <w:t>en santé en général et ceux en santé de la reproduction en particulier</w:t>
      </w:r>
      <w:r w:rsidRPr="0075188A">
        <w:rPr>
          <w:bCs/>
        </w:rPr>
        <w:t xml:space="preserve">. Concernant l'éducation, la charge de l’éducation primaire </w:t>
      </w:r>
      <w:r w:rsidR="00E76D8E">
        <w:rPr>
          <w:bCs/>
        </w:rPr>
        <w:t>pour</w:t>
      </w:r>
      <w:r w:rsidR="009A0B72">
        <w:rPr>
          <w:bCs/>
        </w:rPr>
        <w:t xml:space="preserve"> </w:t>
      </w:r>
      <w:r w:rsidRPr="0075188A">
        <w:rPr>
          <w:bCs/>
        </w:rPr>
        <w:t xml:space="preserve">les ménages </w:t>
      </w:r>
      <w:r w:rsidR="00E76D8E">
        <w:rPr>
          <w:bCs/>
        </w:rPr>
        <w:t xml:space="preserve">et pour l’État </w:t>
      </w:r>
      <w:r w:rsidRPr="0075188A">
        <w:rPr>
          <w:bCs/>
        </w:rPr>
        <w:t>sera</w:t>
      </w:r>
      <w:r w:rsidR="00F73900">
        <w:rPr>
          <w:bCs/>
        </w:rPr>
        <w:t>it</w:t>
      </w:r>
      <w:r w:rsidRPr="0075188A">
        <w:rPr>
          <w:bCs/>
        </w:rPr>
        <w:t xml:space="preserve"> réduite, et passera</w:t>
      </w:r>
      <w:r w:rsidR="00F73900">
        <w:rPr>
          <w:bCs/>
        </w:rPr>
        <w:t>it</w:t>
      </w:r>
      <w:r w:rsidRPr="0075188A">
        <w:rPr>
          <w:bCs/>
        </w:rPr>
        <w:t xml:space="preserve"> de 2,9 à 1,7 milliards de dollars US. De même, pour ce qui est de l'économie, l’action combinée des politiques économiques, éducatives et de santé favorisera</w:t>
      </w:r>
      <w:r w:rsidR="00F73900">
        <w:rPr>
          <w:bCs/>
        </w:rPr>
        <w:t>it</w:t>
      </w:r>
      <w:r w:rsidRPr="0075188A">
        <w:rPr>
          <w:bCs/>
        </w:rPr>
        <w:t xml:space="preserve"> une augmentation de l’investissement par tête de 178,50 à 959,98 dollars US, et celle du produit intérieur brut par tête de 2 400 à 14 400 dollars US en 2035. </w:t>
      </w:r>
    </w:p>
    <w:p w:rsidR="00E71C9F" w:rsidRDefault="0075188A" w:rsidP="003F03FB">
      <w:pPr>
        <w:spacing w:before="120" w:line="276" w:lineRule="auto"/>
        <w:jc w:val="both"/>
        <w:rPr>
          <w:rFonts w:ascii="Tw Cen MT" w:hAnsi="Tw Cen MT" w:cs="Tw Cen MT"/>
        </w:rPr>
      </w:pPr>
      <w:r w:rsidRPr="0075188A">
        <w:rPr>
          <w:bCs/>
        </w:rPr>
        <w:t>Le bénéfice du dividende démographique n’est pas automatique. Aussi</w:t>
      </w:r>
      <w:r w:rsidR="004C13C2">
        <w:rPr>
          <w:bCs/>
        </w:rPr>
        <w:t>,</w:t>
      </w:r>
      <w:r w:rsidRPr="0075188A">
        <w:rPr>
          <w:bCs/>
        </w:rPr>
        <w:t xml:space="preserve"> pour voir </w:t>
      </w:r>
      <w:r w:rsidR="004C13C2">
        <w:rPr>
          <w:bCs/>
        </w:rPr>
        <w:t>c</w:t>
      </w:r>
      <w:r w:rsidRPr="0075188A">
        <w:rPr>
          <w:bCs/>
        </w:rPr>
        <w:t xml:space="preserve">es résultats se traduire en réalité, </w:t>
      </w:r>
      <w:r w:rsidR="007E0CBB">
        <w:rPr>
          <w:bCs/>
        </w:rPr>
        <w:t>il</w:t>
      </w:r>
      <w:r w:rsidR="009A0B72">
        <w:rPr>
          <w:bCs/>
        </w:rPr>
        <w:t xml:space="preserve"> </w:t>
      </w:r>
      <w:r w:rsidR="00F73900">
        <w:rPr>
          <w:bCs/>
        </w:rPr>
        <w:t>est plus</w:t>
      </w:r>
      <w:r w:rsidRPr="0075188A">
        <w:rPr>
          <w:bCs/>
        </w:rPr>
        <w:t xml:space="preserve"> qu'</w:t>
      </w:r>
      <w:r w:rsidRPr="0075188A">
        <w:t xml:space="preserve">urgent pour le Cameroun d’opter pour le dividende démographique comme accélérateur de sa croissance économique, et </w:t>
      </w:r>
      <w:r w:rsidR="001C6510">
        <w:t>d’</w:t>
      </w:r>
      <w:r w:rsidRPr="0075188A">
        <w:t>investir massivement et durablement dès à présent dans la santé, l’éducation et l’économie dans un climat de bonne gouvernance.</w:t>
      </w:r>
      <w:r w:rsidR="002557FE">
        <w:t xml:space="preserve"> Ce</w:t>
      </w:r>
      <w:r w:rsidR="007E0CBB">
        <w:t>s</w:t>
      </w:r>
      <w:r w:rsidR="001C6510">
        <w:t xml:space="preserve"> constat</w:t>
      </w:r>
      <w:r w:rsidR="007E0CBB">
        <w:t>s</w:t>
      </w:r>
      <w:r w:rsidR="009A0B72">
        <w:t xml:space="preserve"> </w:t>
      </w:r>
      <w:r w:rsidR="007E0CBB">
        <w:t xml:space="preserve">sont </w:t>
      </w:r>
      <w:r w:rsidR="002557FE">
        <w:t>comparable</w:t>
      </w:r>
      <w:r w:rsidR="007E0CBB">
        <w:t>s</w:t>
      </w:r>
      <w:r w:rsidR="002557FE">
        <w:t xml:space="preserve"> à </w:t>
      </w:r>
      <w:r w:rsidR="00766EB7">
        <w:t xml:space="preserve">ceux </w:t>
      </w:r>
      <w:r w:rsidR="002557FE">
        <w:t>déjà observé</w:t>
      </w:r>
      <w:r w:rsidR="004C13C2">
        <w:t>s</w:t>
      </w:r>
      <w:r w:rsidR="002557FE">
        <w:t xml:space="preserve"> dans d'autres pays africains de même niveau de développement que le Cameroun</w:t>
      </w:r>
      <w:r w:rsidR="004C13C2">
        <w:t>,</w:t>
      </w:r>
      <w:r w:rsidR="002557FE">
        <w:t xml:space="preserve"> à l'instar de la </w:t>
      </w:r>
      <w:r w:rsidR="00DE7115">
        <w:t>Côte d'Ivoire, du Sénégal, etc.</w:t>
      </w:r>
    </w:p>
    <w:p w:rsidR="008E776A" w:rsidRDefault="008E776A" w:rsidP="008E776A">
      <w:pPr>
        <w:jc w:val="both"/>
        <w:rPr>
          <w:rFonts w:ascii="Tw Cen MT" w:hAnsi="Tw Cen MT" w:cs="Tw Cen MT"/>
          <w:b/>
          <w:bCs/>
          <w:sz w:val="26"/>
          <w:szCs w:val="26"/>
        </w:rPr>
      </w:pPr>
      <w:r>
        <w:rPr>
          <w:rFonts w:ascii="Tw Cen MT" w:hAnsi="Tw Cen MT" w:cs="Tw Cen MT"/>
          <w:b/>
          <w:bCs/>
          <w:sz w:val="26"/>
          <w:szCs w:val="26"/>
        </w:rPr>
        <w:br w:type="page"/>
      </w:r>
    </w:p>
    <w:p w:rsidR="00E71C9F" w:rsidRDefault="008E776A">
      <w:pPr>
        <w:pStyle w:val="Titre1"/>
      </w:pPr>
      <w:bookmarkStart w:id="7" w:name="_Toc474777035"/>
      <w:bookmarkStart w:id="8" w:name="_Toc479009906"/>
      <w:r>
        <w:lastRenderedPageBreak/>
        <w:t>Sommaire</w:t>
      </w:r>
      <w:bookmarkEnd w:id="7"/>
      <w:bookmarkEnd w:id="8"/>
    </w:p>
    <w:bookmarkStart w:id="9" w:name="_Toc474777037"/>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r w:rsidRPr="001B585D">
        <w:fldChar w:fldCharType="begin"/>
      </w:r>
      <w:r w:rsidR="00A15075">
        <w:instrText xml:space="preserve"> TOC \o "1-3" \h \z \u </w:instrText>
      </w:r>
      <w:r w:rsidRPr="001B585D">
        <w:fldChar w:fldCharType="separate"/>
      </w:r>
      <w:hyperlink w:anchor="_Toc479009905" w:history="1">
        <w:r w:rsidR="00376291" w:rsidRPr="00C51B6E">
          <w:rPr>
            <w:rStyle w:val="Lienhypertexte"/>
            <w:noProof/>
          </w:rPr>
          <w:t>Résumé</w:t>
        </w:r>
        <w:r w:rsidR="00376291" w:rsidRPr="00C51B6E">
          <w:rPr>
            <w:noProof/>
            <w:webHidden/>
          </w:rPr>
          <w:tab/>
        </w:r>
        <w:r w:rsidRPr="00C51B6E">
          <w:rPr>
            <w:noProof/>
            <w:webHidden/>
          </w:rPr>
          <w:fldChar w:fldCharType="begin"/>
        </w:r>
        <w:r w:rsidR="00376291" w:rsidRPr="00C51B6E">
          <w:rPr>
            <w:noProof/>
            <w:webHidden/>
          </w:rPr>
          <w:instrText xml:space="preserve"> PAGEREF _Toc479009905 \h </w:instrText>
        </w:r>
        <w:r w:rsidRPr="00C51B6E">
          <w:rPr>
            <w:noProof/>
            <w:webHidden/>
          </w:rPr>
        </w:r>
        <w:r w:rsidRPr="00C51B6E">
          <w:rPr>
            <w:noProof/>
            <w:webHidden/>
          </w:rPr>
          <w:fldChar w:fldCharType="separate"/>
        </w:r>
        <w:r w:rsidR="003027C1">
          <w:rPr>
            <w:noProof/>
            <w:webHidden/>
          </w:rPr>
          <w:t>3</w:t>
        </w:r>
        <w:r w:rsidRPr="00C51B6E">
          <w:rPr>
            <w:noProof/>
            <w:webHidden/>
          </w:rPr>
          <w:fldChar w:fldCharType="end"/>
        </w:r>
      </w:hyperlink>
    </w:p>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06" w:history="1">
        <w:r w:rsidR="00376291" w:rsidRPr="00C51B6E">
          <w:rPr>
            <w:rStyle w:val="Lienhypertexte"/>
            <w:noProof/>
          </w:rPr>
          <w:t>Sommaire</w:t>
        </w:r>
        <w:r w:rsidR="00376291" w:rsidRPr="00C51B6E">
          <w:rPr>
            <w:noProof/>
            <w:webHidden/>
          </w:rPr>
          <w:tab/>
        </w:r>
        <w:r w:rsidRPr="00C51B6E">
          <w:rPr>
            <w:noProof/>
            <w:webHidden/>
          </w:rPr>
          <w:fldChar w:fldCharType="begin"/>
        </w:r>
        <w:r w:rsidR="00376291" w:rsidRPr="00C51B6E">
          <w:rPr>
            <w:noProof/>
            <w:webHidden/>
          </w:rPr>
          <w:instrText xml:space="preserve"> PAGEREF _Toc479009906 \h </w:instrText>
        </w:r>
        <w:r w:rsidRPr="00C51B6E">
          <w:rPr>
            <w:noProof/>
            <w:webHidden/>
          </w:rPr>
        </w:r>
        <w:r w:rsidRPr="00C51B6E">
          <w:rPr>
            <w:noProof/>
            <w:webHidden/>
          </w:rPr>
          <w:fldChar w:fldCharType="separate"/>
        </w:r>
        <w:r w:rsidR="003027C1">
          <w:rPr>
            <w:noProof/>
            <w:webHidden/>
          </w:rPr>
          <w:t>5</w:t>
        </w:r>
        <w:r w:rsidRPr="00C51B6E">
          <w:rPr>
            <w:noProof/>
            <w:webHidden/>
          </w:rPr>
          <w:fldChar w:fldCharType="end"/>
        </w:r>
      </w:hyperlink>
    </w:p>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07" w:history="1">
        <w:r w:rsidR="00376291" w:rsidRPr="00C51B6E">
          <w:rPr>
            <w:rStyle w:val="Lienhypertexte"/>
            <w:noProof/>
          </w:rPr>
          <w:t>Liste des figures</w:t>
        </w:r>
        <w:r w:rsidR="00376291" w:rsidRPr="00C51B6E">
          <w:rPr>
            <w:noProof/>
            <w:webHidden/>
          </w:rPr>
          <w:tab/>
        </w:r>
        <w:r w:rsidRPr="00C51B6E">
          <w:rPr>
            <w:noProof/>
            <w:webHidden/>
          </w:rPr>
          <w:fldChar w:fldCharType="begin"/>
        </w:r>
        <w:r w:rsidR="00376291" w:rsidRPr="00C51B6E">
          <w:rPr>
            <w:noProof/>
            <w:webHidden/>
          </w:rPr>
          <w:instrText xml:space="preserve"> PAGEREF _Toc479009907 \h </w:instrText>
        </w:r>
        <w:r w:rsidRPr="00C51B6E">
          <w:rPr>
            <w:noProof/>
            <w:webHidden/>
          </w:rPr>
        </w:r>
        <w:r w:rsidRPr="00C51B6E">
          <w:rPr>
            <w:noProof/>
            <w:webHidden/>
          </w:rPr>
          <w:fldChar w:fldCharType="separate"/>
        </w:r>
        <w:r w:rsidR="003027C1">
          <w:rPr>
            <w:noProof/>
            <w:webHidden/>
          </w:rPr>
          <w:t>7</w:t>
        </w:r>
        <w:r w:rsidRPr="00C51B6E">
          <w:rPr>
            <w:noProof/>
            <w:webHidden/>
          </w:rPr>
          <w:fldChar w:fldCharType="end"/>
        </w:r>
      </w:hyperlink>
    </w:p>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08" w:history="1">
        <w:r w:rsidR="00376291" w:rsidRPr="00C51B6E">
          <w:rPr>
            <w:rStyle w:val="Lienhypertexte"/>
            <w:noProof/>
          </w:rPr>
          <w:t>Liste des tableaux</w:t>
        </w:r>
        <w:r w:rsidR="00376291" w:rsidRPr="00C51B6E">
          <w:rPr>
            <w:noProof/>
            <w:webHidden/>
          </w:rPr>
          <w:tab/>
        </w:r>
        <w:r w:rsidRPr="00C51B6E">
          <w:rPr>
            <w:noProof/>
            <w:webHidden/>
          </w:rPr>
          <w:fldChar w:fldCharType="begin"/>
        </w:r>
        <w:r w:rsidR="00376291" w:rsidRPr="00C51B6E">
          <w:rPr>
            <w:noProof/>
            <w:webHidden/>
          </w:rPr>
          <w:instrText xml:space="preserve"> PAGEREF _Toc479009908 \h </w:instrText>
        </w:r>
        <w:r w:rsidRPr="00C51B6E">
          <w:rPr>
            <w:noProof/>
            <w:webHidden/>
          </w:rPr>
        </w:r>
        <w:r w:rsidRPr="00C51B6E">
          <w:rPr>
            <w:noProof/>
            <w:webHidden/>
          </w:rPr>
          <w:fldChar w:fldCharType="separate"/>
        </w:r>
        <w:r w:rsidR="003027C1">
          <w:rPr>
            <w:noProof/>
            <w:webHidden/>
          </w:rPr>
          <w:t>8</w:t>
        </w:r>
        <w:r w:rsidRPr="00C51B6E">
          <w:rPr>
            <w:noProof/>
            <w:webHidden/>
          </w:rPr>
          <w:fldChar w:fldCharType="end"/>
        </w:r>
      </w:hyperlink>
    </w:p>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09" w:history="1">
        <w:r w:rsidR="00376291" w:rsidRPr="00C51B6E">
          <w:rPr>
            <w:rStyle w:val="Lienhypertexte"/>
            <w:noProof/>
          </w:rPr>
          <w:t>Liste des abréviations</w:t>
        </w:r>
        <w:r w:rsidR="00376291" w:rsidRPr="00C51B6E">
          <w:rPr>
            <w:noProof/>
            <w:webHidden/>
          </w:rPr>
          <w:tab/>
        </w:r>
        <w:r w:rsidRPr="00C51B6E">
          <w:rPr>
            <w:noProof/>
            <w:webHidden/>
          </w:rPr>
          <w:fldChar w:fldCharType="begin"/>
        </w:r>
        <w:r w:rsidR="00376291" w:rsidRPr="00C51B6E">
          <w:rPr>
            <w:noProof/>
            <w:webHidden/>
          </w:rPr>
          <w:instrText xml:space="preserve"> PAGEREF _Toc479009909 \h </w:instrText>
        </w:r>
        <w:r w:rsidRPr="00C51B6E">
          <w:rPr>
            <w:noProof/>
            <w:webHidden/>
          </w:rPr>
        </w:r>
        <w:r w:rsidRPr="00C51B6E">
          <w:rPr>
            <w:noProof/>
            <w:webHidden/>
          </w:rPr>
          <w:fldChar w:fldCharType="separate"/>
        </w:r>
        <w:r w:rsidR="003027C1">
          <w:rPr>
            <w:noProof/>
            <w:webHidden/>
          </w:rPr>
          <w:t>9</w:t>
        </w:r>
        <w:r w:rsidRPr="00C51B6E">
          <w:rPr>
            <w:noProof/>
            <w:webHidden/>
          </w:rPr>
          <w:fldChar w:fldCharType="end"/>
        </w:r>
      </w:hyperlink>
    </w:p>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10" w:history="1">
        <w:r w:rsidR="00376291" w:rsidRPr="00C51B6E">
          <w:rPr>
            <w:rStyle w:val="Lienhypertexte"/>
            <w:noProof/>
            <w:lang w:val="en-CA"/>
          </w:rPr>
          <w:t>Introduction</w:t>
        </w:r>
        <w:r w:rsidR="00376291" w:rsidRPr="00C51B6E">
          <w:rPr>
            <w:noProof/>
            <w:webHidden/>
          </w:rPr>
          <w:tab/>
        </w:r>
        <w:r w:rsidRPr="00C51B6E">
          <w:rPr>
            <w:noProof/>
            <w:webHidden/>
          </w:rPr>
          <w:fldChar w:fldCharType="begin"/>
        </w:r>
        <w:r w:rsidR="00376291" w:rsidRPr="00C51B6E">
          <w:rPr>
            <w:noProof/>
            <w:webHidden/>
          </w:rPr>
          <w:instrText xml:space="preserve"> PAGEREF _Toc479009910 \h </w:instrText>
        </w:r>
        <w:r w:rsidRPr="00C51B6E">
          <w:rPr>
            <w:noProof/>
            <w:webHidden/>
          </w:rPr>
        </w:r>
        <w:r w:rsidRPr="00C51B6E">
          <w:rPr>
            <w:noProof/>
            <w:webHidden/>
          </w:rPr>
          <w:fldChar w:fldCharType="separate"/>
        </w:r>
        <w:r w:rsidR="003027C1">
          <w:rPr>
            <w:noProof/>
            <w:webHidden/>
          </w:rPr>
          <w:t>10</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11" w:history="1">
        <w:r w:rsidR="00376291" w:rsidRPr="00C51B6E">
          <w:rPr>
            <w:rStyle w:val="Lienhypertexte"/>
            <w:noProof/>
            <w:lang w:val="en-CA"/>
          </w:rPr>
          <w:t>1.</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Contexte</w:t>
        </w:r>
        <w:r w:rsidR="00376291" w:rsidRPr="00C51B6E">
          <w:rPr>
            <w:rStyle w:val="Lienhypertexte"/>
            <w:noProof/>
            <w:lang w:val="en-CA"/>
          </w:rPr>
          <w:t xml:space="preserve"> et justification</w:t>
        </w:r>
        <w:r w:rsidR="00376291" w:rsidRPr="00C51B6E">
          <w:rPr>
            <w:noProof/>
            <w:webHidden/>
          </w:rPr>
          <w:tab/>
        </w:r>
        <w:r w:rsidRPr="00C51B6E">
          <w:rPr>
            <w:noProof/>
            <w:webHidden/>
          </w:rPr>
          <w:fldChar w:fldCharType="begin"/>
        </w:r>
        <w:r w:rsidR="00376291" w:rsidRPr="00C51B6E">
          <w:rPr>
            <w:noProof/>
            <w:webHidden/>
          </w:rPr>
          <w:instrText xml:space="preserve"> PAGEREF _Toc479009911 \h </w:instrText>
        </w:r>
        <w:r w:rsidRPr="00C51B6E">
          <w:rPr>
            <w:noProof/>
            <w:webHidden/>
          </w:rPr>
        </w:r>
        <w:r w:rsidRPr="00C51B6E">
          <w:rPr>
            <w:noProof/>
            <w:webHidden/>
          </w:rPr>
          <w:fldChar w:fldCharType="separate"/>
        </w:r>
        <w:r w:rsidR="003027C1">
          <w:rPr>
            <w:noProof/>
            <w:webHidden/>
          </w:rPr>
          <w:t>11</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12" w:history="1">
        <w:r w:rsidR="00376291" w:rsidRPr="00C51B6E">
          <w:rPr>
            <w:rStyle w:val="Lienhypertexte"/>
            <w:noProof/>
          </w:rPr>
          <w:t>2.</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Objectifs de l’étude</w:t>
        </w:r>
        <w:r w:rsidR="00376291" w:rsidRPr="00C51B6E">
          <w:rPr>
            <w:noProof/>
            <w:webHidden/>
          </w:rPr>
          <w:tab/>
        </w:r>
        <w:r w:rsidRPr="00C51B6E">
          <w:rPr>
            <w:noProof/>
            <w:webHidden/>
          </w:rPr>
          <w:fldChar w:fldCharType="begin"/>
        </w:r>
        <w:r w:rsidR="00376291" w:rsidRPr="00C51B6E">
          <w:rPr>
            <w:noProof/>
            <w:webHidden/>
          </w:rPr>
          <w:instrText xml:space="preserve"> PAGEREF _Toc479009912 \h </w:instrText>
        </w:r>
        <w:r w:rsidRPr="00C51B6E">
          <w:rPr>
            <w:noProof/>
            <w:webHidden/>
          </w:rPr>
        </w:r>
        <w:r w:rsidRPr="00C51B6E">
          <w:rPr>
            <w:noProof/>
            <w:webHidden/>
          </w:rPr>
          <w:fldChar w:fldCharType="separate"/>
        </w:r>
        <w:r w:rsidR="003027C1">
          <w:rPr>
            <w:noProof/>
            <w:webHidden/>
          </w:rPr>
          <w:t>12</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13" w:history="1">
        <w:r w:rsidR="00376291" w:rsidRPr="00C51B6E">
          <w:rPr>
            <w:rStyle w:val="Lienhypertexte"/>
            <w:noProof/>
          </w:rPr>
          <w:t>3.</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Méthodologie</w:t>
        </w:r>
        <w:r w:rsidR="00376291" w:rsidRPr="00C51B6E">
          <w:rPr>
            <w:noProof/>
            <w:webHidden/>
          </w:rPr>
          <w:tab/>
        </w:r>
        <w:r w:rsidRPr="00C51B6E">
          <w:rPr>
            <w:noProof/>
            <w:webHidden/>
          </w:rPr>
          <w:fldChar w:fldCharType="begin"/>
        </w:r>
        <w:r w:rsidR="00376291" w:rsidRPr="00C51B6E">
          <w:rPr>
            <w:noProof/>
            <w:webHidden/>
          </w:rPr>
          <w:instrText xml:space="preserve"> PAGEREF _Toc479009913 \h </w:instrText>
        </w:r>
        <w:r w:rsidRPr="00C51B6E">
          <w:rPr>
            <w:noProof/>
            <w:webHidden/>
          </w:rPr>
        </w:r>
        <w:r w:rsidRPr="00C51B6E">
          <w:rPr>
            <w:noProof/>
            <w:webHidden/>
          </w:rPr>
          <w:fldChar w:fldCharType="separate"/>
        </w:r>
        <w:r w:rsidR="003027C1">
          <w:rPr>
            <w:noProof/>
            <w:webHidden/>
          </w:rPr>
          <w:t>13</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14" w:history="1">
        <w:r w:rsidR="00376291" w:rsidRPr="00C51B6E">
          <w:rPr>
            <w:rStyle w:val="Lienhypertexte"/>
            <w:bCs/>
            <w:noProof/>
          </w:rPr>
          <w:t>3.1.</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Modèle et estimation du dividende démographique</w:t>
        </w:r>
        <w:r w:rsidR="00376291" w:rsidRPr="00C51B6E">
          <w:rPr>
            <w:noProof/>
            <w:webHidden/>
          </w:rPr>
          <w:tab/>
        </w:r>
        <w:r w:rsidRPr="00C51B6E">
          <w:rPr>
            <w:noProof/>
            <w:webHidden/>
          </w:rPr>
          <w:fldChar w:fldCharType="begin"/>
        </w:r>
        <w:r w:rsidR="00376291" w:rsidRPr="00C51B6E">
          <w:rPr>
            <w:noProof/>
            <w:webHidden/>
          </w:rPr>
          <w:instrText xml:space="preserve"> PAGEREF _Toc479009914 \h </w:instrText>
        </w:r>
        <w:r w:rsidRPr="00C51B6E">
          <w:rPr>
            <w:noProof/>
            <w:webHidden/>
          </w:rPr>
        </w:r>
        <w:r w:rsidRPr="00C51B6E">
          <w:rPr>
            <w:noProof/>
            <w:webHidden/>
          </w:rPr>
          <w:fldChar w:fldCharType="separate"/>
        </w:r>
        <w:r w:rsidR="003027C1">
          <w:rPr>
            <w:noProof/>
            <w:webHidden/>
          </w:rPr>
          <w:t>13</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15" w:history="1">
        <w:r w:rsidR="00376291" w:rsidRPr="00C51B6E">
          <w:rPr>
            <w:rStyle w:val="Lienhypertexte"/>
            <w:noProof/>
          </w:rPr>
          <w:t>3.2.</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Limites du modèle DemDiv et de l’approche du Dividende démographique</w:t>
        </w:r>
        <w:r w:rsidR="00376291" w:rsidRPr="00C51B6E">
          <w:rPr>
            <w:noProof/>
            <w:webHidden/>
          </w:rPr>
          <w:tab/>
        </w:r>
        <w:r w:rsidRPr="00C51B6E">
          <w:rPr>
            <w:noProof/>
            <w:webHidden/>
          </w:rPr>
          <w:fldChar w:fldCharType="begin"/>
        </w:r>
        <w:r w:rsidR="00376291" w:rsidRPr="00C51B6E">
          <w:rPr>
            <w:noProof/>
            <w:webHidden/>
          </w:rPr>
          <w:instrText xml:space="preserve"> PAGEREF _Toc479009915 \h </w:instrText>
        </w:r>
        <w:r w:rsidRPr="00C51B6E">
          <w:rPr>
            <w:noProof/>
            <w:webHidden/>
          </w:rPr>
        </w:r>
        <w:r w:rsidRPr="00C51B6E">
          <w:rPr>
            <w:noProof/>
            <w:webHidden/>
          </w:rPr>
          <w:fldChar w:fldCharType="separate"/>
        </w:r>
        <w:r w:rsidR="003027C1">
          <w:rPr>
            <w:noProof/>
            <w:webHidden/>
          </w:rPr>
          <w:t>15</w:t>
        </w:r>
        <w:r w:rsidRPr="00C51B6E">
          <w:rPr>
            <w:noProof/>
            <w:webHidden/>
          </w:rPr>
          <w:fldChar w:fldCharType="end"/>
        </w:r>
      </w:hyperlink>
    </w:p>
    <w:p w:rsidR="00376291" w:rsidRPr="00C51B6E" w:rsidRDefault="001B585D">
      <w:pPr>
        <w:pStyle w:val="TM2"/>
        <w:tabs>
          <w:tab w:val="right" w:leader="dot" w:pos="8493"/>
        </w:tabs>
        <w:rPr>
          <w:rFonts w:asciiTheme="minorHAnsi" w:eastAsiaTheme="minorEastAsia" w:hAnsiTheme="minorHAnsi" w:cstheme="minorBidi"/>
          <w:noProof/>
          <w:color w:val="auto"/>
          <w:sz w:val="22"/>
          <w:szCs w:val="22"/>
        </w:rPr>
      </w:pPr>
      <w:hyperlink w:anchor="_Toc479009916" w:history="1">
        <w:r w:rsidR="00376291" w:rsidRPr="00C51B6E">
          <w:rPr>
            <w:rStyle w:val="Lienhypertexte"/>
            <w:noProof/>
          </w:rPr>
          <w:t>3.3. Cadre d'analyse</w:t>
        </w:r>
        <w:r w:rsidR="00376291" w:rsidRPr="00C51B6E">
          <w:rPr>
            <w:noProof/>
            <w:webHidden/>
          </w:rPr>
          <w:tab/>
        </w:r>
        <w:r w:rsidRPr="00C51B6E">
          <w:rPr>
            <w:noProof/>
            <w:webHidden/>
          </w:rPr>
          <w:fldChar w:fldCharType="begin"/>
        </w:r>
        <w:r w:rsidR="00376291" w:rsidRPr="00C51B6E">
          <w:rPr>
            <w:noProof/>
            <w:webHidden/>
          </w:rPr>
          <w:instrText xml:space="preserve"> PAGEREF _Toc479009916 \h </w:instrText>
        </w:r>
        <w:r w:rsidRPr="00C51B6E">
          <w:rPr>
            <w:noProof/>
            <w:webHidden/>
          </w:rPr>
        </w:r>
        <w:r w:rsidRPr="00C51B6E">
          <w:rPr>
            <w:noProof/>
            <w:webHidden/>
          </w:rPr>
          <w:fldChar w:fldCharType="separate"/>
        </w:r>
        <w:r w:rsidR="003027C1">
          <w:rPr>
            <w:noProof/>
            <w:webHidden/>
          </w:rPr>
          <w:t>16</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17" w:history="1">
        <w:r w:rsidR="00376291" w:rsidRPr="00C51B6E">
          <w:rPr>
            <w:rStyle w:val="Lienhypertexte"/>
            <w:noProof/>
          </w:rPr>
          <w:t>3.4.</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Modèles d'analyse</w:t>
        </w:r>
        <w:r w:rsidR="00376291" w:rsidRPr="00C51B6E">
          <w:rPr>
            <w:noProof/>
            <w:webHidden/>
          </w:rPr>
          <w:tab/>
        </w:r>
        <w:r w:rsidRPr="00C51B6E">
          <w:rPr>
            <w:noProof/>
            <w:webHidden/>
          </w:rPr>
          <w:fldChar w:fldCharType="begin"/>
        </w:r>
        <w:r w:rsidR="00376291" w:rsidRPr="00C51B6E">
          <w:rPr>
            <w:noProof/>
            <w:webHidden/>
          </w:rPr>
          <w:instrText xml:space="preserve"> PAGEREF _Toc479009917 \h </w:instrText>
        </w:r>
        <w:r w:rsidRPr="00C51B6E">
          <w:rPr>
            <w:noProof/>
            <w:webHidden/>
          </w:rPr>
        </w:r>
        <w:r w:rsidRPr="00C51B6E">
          <w:rPr>
            <w:noProof/>
            <w:webHidden/>
          </w:rPr>
          <w:fldChar w:fldCharType="separate"/>
        </w:r>
        <w:r w:rsidR="003027C1">
          <w:rPr>
            <w:noProof/>
            <w:webHidden/>
          </w:rPr>
          <w:t>17</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18" w:history="1">
        <w:r w:rsidR="00376291" w:rsidRPr="00C51B6E">
          <w:rPr>
            <w:rStyle w:val="Lienhypertexte"/>
            <w:bCs/>
            <w:noProof/>
          </w:rPr>
          <w:t>4.</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Analyse de la situation et hypothèses</w:t>
        </w:r>
        <w:r w:rsidR="00376291" w:rsidRPr="00C51B6E">
          <w:rPr>
            <w:noProof/>
            <w:webHidden/>
          </w:rPr>
          <w:tab/>
        </w:r>
        <w:r w:rsidRPr="00C51B6E">
          <w:rPr>
            <w:noProof/>
            <w:webHidden/>
          </w:rPr>
          <w:fldChar w:fldCharType="begin"/>
        </w:r>
        <w:r w:rsidR="00376291" w:rsidRPr="00C51B6E">
          <w:rPr>
            <w:noProof/>
            <w:webHidden/>
          </w:rPr>
          <w:instrText xml:space="preserve"> PAGEREF _Toc479009918 \h </w:instrText>
        </w:r>
        <w:r w:rsidRPr="00C51B6E">
          <w:rPr>
            <w:noProof/>
            <w:webHidden/>
          </w:rPr>
        </w:r>
        <w:r w:rsidRPr="00C51B6E">
          <w:rPr>
            <w:noProof/>
            <w:webHidden/>
          </w:rPr>
          <w:fldChar w:fldCharType="separate"/>
        </w:r>
        <w:r w:rsidR="003027C1">
          <w:rPr>
            <w:noProof/>
            <w:webHidden/>
          </w:rPr>
          <w:t>17</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19" w:history="1">
        <w:r w:rsidR="00376291" w:rsidRPr="00C51B6E">
          <w:rPr>
            <w:rStyle w:val="Lienhypertexte"/>
            <w:noProof/>
          </w:rPr>
          <w:t>4.1.</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Variables démographiques</w:t>
        </w:r>
        <w:r w:rsidR="00376291" w:rsidRPr="00C51B6E">
          <w:rPr>
            <w:noProof/>
            <w:webHidden/>
          </w:rPr>
          <w:tab/>
        </w:r>
        <w:r w:rsidRPr="00C51B6E">
          <w:rPr>
            <w:noProof/>
            <w:webHidden/>
          </w:rPr>
          <w:fldChar w:fldCharType="begin"/>
        </w:r>
        <w:r w:rsidR="00376291" w:rsidRPr="00C51B6E">
          <w:rPr>
            <w:noProof/>
            <w:webHidden/>
          </w:rPr>
          <w:instrText xml:space="preserve"> PAGEREF _Toc479009919 \h </w:instrText>
        </w:r>
        <w:r w:rsidRPr="00C51B6E">
          <w:rPr>
            <w:noProof/>
            <w:webHidden/>
          </w:rPr>
        </w:r>
        <w:r w:rsidRPr="00C51B6E">
          <w:rPr>
            <w:noProof/>
            <w:webHidden/>
          </w:rPr>
          <w:fldChar w:fldCharType="separate"/>
        </w:r>
        <w:r w:rsidR="003027C1">
          <w:rPr>
            <w:noProof/>
            <w:webHidden/>
          </w:rPr>
          <w:t>17</w:t>
        </w:r>
        <w:r w:rsidRPr="00C51B6E">
          <w:rPr>
            <w:noProof/>
            <w:webHidden/>
          </w:rPr>
          <w:fldChar w:fldCharType="end"/>
        </w:r>
      </w:hyperlink>
    </w:p>
    <w:p w:rsidR="00376291" w:rsidRPr="00C51B6E" w:rsidRDefault="001B585D">
      <w:pPr>
        <w:pStyle w:val="TM2"/>
        <w:tabs>
          <w:tab w:val="right" w:leader="dot" w:pos="8493"/>
        </w:tabs>
        <w:rPr>
          <w:rFonts w:asciiTheme="minorHAnsi" w:eastAsiaTheme="minorEastAsia" w:hAnsiTheme="minorHAnsi" w:cstheme="minorBidi"/>
          <w:noProof/>
          <w:color w:val="auto"/>
          <w:sz w:val="22"/>
          <w:szCs w:val="22"/>
        </w:rPr>
      </w:pPr>
      <w:hyperlink w:anchor="_Toc479009920" w:history="1">
        <w:r w:rsidR="00376291" w:rsidRPr="00C51B6E">
          <w:rPr>
            <w:rStyle w:val="Lienhypertexte"/>
            <w:bCs/>
            <w:noProof/>
          </w:rPr>
          <w:t>4.2. Variables relatives à l'éducation</w:t>
        </w:r>
        <w:r w:rsidR="00376291" w:rsidRPr="00C51B6E">
          <w:rPr>
            <w:noProof/>
            <w:webHidden/>
          </w:rPr>
          <w:tab/>
        </w:r>
        <w:r w:rsidRPr="00C51B6E">
          <w:rPr>
            <w:noProof/>
            <w:webHidden/>
          </w:rPr>
          <w:fldChar w:fldCharType="begin"/>
        </w:r>
        <w:r w:rsidR="00376291" w:rsidRPr="00C51B6E">
          <w:rPr>
            <w:noProof/>
            <w:webHidden/>
          </w:rPr>
          <w:instrText xml:space="preserve"> PAGEREF _Toc479009920 \h </w:instrText>
        </w:r>
        <w:r w:rsidRPr="00C51B6E">
          <w:rPr>
            <w:noProof/>
            <w:webHidden/>
          </w:rPr>
        </w:r>
        <w:r w:rsidRPr="00C51B6E">
          <w:rPr>
            <w:noProof/>
            <w:webHidden/>
          </w:rPr>
          <w:fldChar w:fldCharType="separate"/>
        </w:r>
        <w:r w:rsidR="003027C1">
          <w:rPr>
            <w:noProof/>
            <w:webHidden/>
          </w:rPr>
          <w:t>24</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1" w:history="1">
        <w:r w:rsidR="00376291" w:rsidRPr="00C51B6E">
          <w:rPr>
            <w:rStyle w:val="Lienhypertexte"/>
            <w:bCs/>
            <w:noProof/>
          </w:rPr>
          <w:t>4.3.</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Variables relatives à la santé</w:t>
        </w:r>
        <w:r w:rsidR="00376291" w:rsidRPr="00C51B6E">
          <w:rPr>
            <w:noProof/>
            <w:webHidden/>
          </w:rPr>
          <w:tab/>
        </w:r>
        <w:r w:rsidRPr="00C51B6E">
          <w:rPr>
            <w:noProof/>
            <w:webHidden/>
          </w:rPr>
          <w:fldChar w:fldCharType="begin"/>
        </w:r>
        <w:r w:rsidR="00376291" w:rsidRPr="00C51B6E">
          <w:rPr>
            <w:noProof/>
            <w:webHidden/>
          </w:rPr>
          <w:instrText xml:space="preserve"> PAGEREF _Toc479009921 \h </w:instrText>
        </w:r>
        <w:r w:rsidRPr="00C51B6E">
          <w:rPr>
            <w:noProof/>
            <w:webHidden/>
          </w:rPr>
        </w:r>
        <w:r w:rsidRPr="00C51B6E">
          <w:rPr>
            <w:noProof/>
            <w:webHidden/>
          </w:rPr>
          <w:fldChar w:fldCharType="separate"/>
        </w:r>
        <w:r w:rsidR="003027C1">
          <w:rPr>
            <w:noProof/>
            <w:webHidden/>
          </w:rPr>
          <w:t>24</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2" w:history="1">
        <w:r w:rsidR="00376291" w:rsidRPr="00C51B6E">
          <w:rPr>
            <w:rStyle w:val="Lienhypertexte"/>
            <w:bCs/>
            <w:noProof/>
          </w:rPr>
          <w:t>4.4.</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Gouvernance</w:t>
        </w:r>
        <w:r w:rsidR="00376291" w:rsidRPr="00C51B6E">
          <w:rPr>
            <w:noProof/>
            <w:webHidden/>
          </w:rPr>
          <w:tab/>
        </w:r>
        <w:r w:rsidRPr="00C51B6E">
          <w:rPr>
            <w:noProof/>
            <w:webHidden/>
          </w:rPr>
          <w:fldChar w:fldCharType="begin"/>
        </w:r>
        <w:r w:rsidR="00376291" w:rsidRPr="00C51B6E">
          <w:rPr>
            <w:noProof/>
            <w:webHidden/>
          </w:rPr>
          <w:instrText xml:space="preserve"> PAGEREF _Toc479009922 \h </w:instrText>
        </w:r>
        <w:r w:rsidRPr="00C51B6E">
          <w:rPr>
            <w:noProof/>
            <w:webHidden/>
          </w:rPr>
        </w:r>
        <w:r w:rsidRPr="00C51B6E">
          <w:rPr>
            <w:noProof/>
            <w:webHidden/>
          </w:rPr>
          <w:fldChar w:fldCharType="separate"/>
        </w:r>
        <w:r w:rsidR="003027C1">
          <w:rPr>
            <w:noProof/>
            <w:webHidden/>
          </w:rPr>
          <w:t>28</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3" w:history="1">
        <w:r w:rsidR="00376291" w:rsidRPr="00C51B6E">
          <w:rPr>
            <w:rStyle w:val="Lienhypertexte"/>
            <w:bCs/>
            <w:noProof/>
          </w:rPr>
          <w:t>4.5.</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Hypothèses sur les variables de contrôle des sous-modèles</w:t>
        </w:r>
        <w:r w:rsidR="00376291" w:rsidRPr="00C51B6E">
          <w:rPr>
            <w:noProof/>
            <w:webHidden/>
          </w:rPr>
          <w:tab/>
        </w:r>
        <w:r w:rsidRPr="00C51B6E">
          <w:rPr>
            <w:noProof/>
            <w:webHidden/>
          </w:rPr>
          <w:fldChar w:fldCharType="begin"/>
        </w:r>
        <w:r w:rsidR="00376291" w:rsidRPr="00C51B6E">
          <w:rPr>
            <w:noProof/>
            <w:webHidden/>
          </w:rPr>
          <w:instrText xml:space="preserve"> PAGEREF _Toc479009923 \h </w:instrText>
        </w:r>
        <w:r w:rsidRPr="00C51B6E">
          <w:rPr>
            <w:noProof/>
            <w:webHidden/>
          </w:rPr>
        </w:r>
        <w:r w:rsidRPr="00C51B6E">
          <w:rPr>
            <w:noProof/>
            <w:webHidden/>
          </w:rPr>
          <w:fldChar w:fldCharType="separate"/>
        </w:r>
        <w:r w:rsidR="003027C1">
          <w:rPr>
            <w:noProof/>
            <w:webHidden/>
          </w:rPr>
          <w:t>28</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24" w:history="1">
        <w:r w:rsidR="00376291" w:rsidRPr="00C51B6E">
          <w:rPr>
            <w:rStyle w:val="Lienhypertexte"/>
            <w:noProof/>
          </w:rPr>
          <w:t>5.</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Analyse des résultats de la modélisation</w:t>
        </w:r>
        <w:r w:rsidR="00376291" w:rsidRPr="00C51B6E">
          <w:rPr>
            <w:noProof/>
            <w:webHidden/>
          </w:rPr>
          <w:tab/>
        </w:r>
        <w:r w:rsidRPr="00C51B6E">
          <w:rPr>
            <w:noProof/>
            <w:webHidden/>
          </w:rPr>
          <w:fldChar w:fldCharType="begin"/>
        </w:r>
        <w:r w:rsidR="00376291" w:rsidRPr="00C51B6E">
          <w:rPr>
            <w:noProof/>
            <w:webHidden/>
          </w:rPr>
          <w:instrText xml:space="preserve"> PAGEREF _Toc479009924 \h </w:instrText>
        </w:r>
        <w:r w:rsidRPr="00C51B6E">
          <w:rPr>
            <w:noProof/>
            <w:webHidden/>
          </w:rPr>
        </w:r>
        <w:r w:rsidRPr="00C51B6E">
          <w:rPr>
            <w:noProof/>
            <w:webHidden/>
          </w:rPr>
          <w:fldChar w:fldCharType="separate"/>
        </w:r>
        <w:r w:rsidR="003027C1">
          <w:rPr>
            <w:noProof/>
            <w:webHidden/>
          </w:rPr>
          <w:t>30</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5" w:history="1">
        <w:r w:rsidR="00376291" w:rsidRPr="00C51B6E">
          <w:rPr>
            <w:rStyle w:val="Lienhypertexte"/>
            <w:bCs/>
            <w:noProof/>
          </w:rPr>
          <w:t>5.1.</w:t>
        </w:r>
        <w:r w:rsidR="00376291" w:rsidRPr="00C51B6E">
          <w:rPr>
            <w:rFonts w:asciiTheme="minorHAnsi" w:eastAsiaTheme="minorEastAsia" w:hAnsiTheme="minorHAnsi" w:cstheme="minorBidi"/>
            <w:noProof/>
            <w:color w:val="auto"/>
            <w:sz w:val="22"/>
            <w:szCs w:val="22"/>
          </w:rPr>
          <w:tab/>
        </w:r>
        <w:r w:rsidR="00376291" w:rsidRPr="00C51B6E">
          <w:rPr>
            <w:rStyle w:val="Lienhypertexte"/>
            <w:bCs/>
            <w:noProof/>
          </w:rPr>
          <w:t>Ouverture de la fenêtre d'opportunité</w:t>
        </w:r>
        <w:r w:rsidR="00376291" w:rsidRPr="00C51B6E">
          <w:rPr>
            <w:noProof/>
            <w:webHidden/>
          </w:rPr>
          <w:tab/>
        </w:r>
        <w:r w:rsidRPr="00C51B6E">
          <w:rPr>
            <w:noProof/>
            <w:webHidden/>
          </w:rPr>
          <w:fldChar w:fldCharType="begin"/>
        </w:r>
        <w:r w:rsidR="00376291" w:rsidRPr="00C51B6E">
          <w:rPr>
            <w:noProof/>
            <w:webHidden/>
          </w:rPr>
          <w:instrText xml:space="preserve"> PAGEREF _Toc479009925 \h </w:instrText>
        </w:r>
        <w:r w:rsidRPr="00C51B6E">
          <w:rPr>
            <w:noProof/>
            <w:webHidden/>
          </w:rPr>
        </w:r>
        <w:r w:rsidRPr="00C51B6E">
          <w:rPr>
            <w:noProof/>
            <w:webHidden/>
          </w:rPr>
          <w:fldChar w:fldCharType="separate"/>
        </w:r>
        <w:r w:rsidR="003027C1">
          <w:rPr>
            <w:noProof/>
            <w:webHidden/>
          </w:rPr>
          <w:t>30</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6" w:history="1">
        <w:r w:rsidR="00376291" w:rsidRPr="00C51B6E">
          <w:rPr>
            <w:rStyle w:val="Lienhypertexte"/>
            <w:noProof/>
          </w:rPr>
          <w:t>5.2.</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Gains en matière de santé</w:t>
        </w:r>
        <w:r w:rsidR="00376291" w:rsidRPr="00C51B6E">
          <w:rPr>
            <w:noProof/>
            <w:webHidden/>
          </w:rPr>
          <w:tab/>
        </w:r>
        <w:r w:rsidRPr="00C51B6E">
          <w:rPr>
            <w:noProof/>
            <w:webHidden/>
          </w:rPr>
          <w:fldChar w:fldCharType="begin"/>
        </w:r>
        <w:r w:rsidR="00376291" w:rsidRPr="00C51B6E">
          <w:rPr>
            <w:noProof/>
            <w:webHidden/>
          </w:rPr>
          <w:instrText xml:space="preserve"> PAGEREF _Toc479009926 \h </w:instrText>
        </w:r>
        <w:r w:rsidRPr="00C51B6E">
          <w:rPr>
            <w:noProof/>
            <w:webHidden/>
          </w:rPr>
        </w:r>
        <w:r w:rsidRPr="00C51B6E">
          <w:rPr>
            <w:noProof/>
            <w:webHidden/>
          </w:rPr>
          <w:fldChar w:fldCharType="separate"/>
        </w:r>
        <w:r w:rsidR="003027C1">
          <w:rPr>
            <w:noProof/>
            <w:webHidden/>
          </w:rPr>
          <w:t>33</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7" w:history="1">
        <w:r w:rsidR="00376291" w:rsidRPr="00C51B6E">
          <w:rPr>
            <w:rStyle w:val="Lienhypertexte"/>
            <w:noProof/>
          </w:rPr>
          <w:t>5.3.</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Évolution des variables économiques</w:t>
        </w:r>
        <w:r w:rsidR="00376291" w:rsidRPr="00C51B6E">
          <w:rPr>
            <w:noProof/>
            <w:webHidden/>
          </w:rPr>
          <w:tab/>
        </w:r>
        <w:r w:rsidRPr="00C51B6E">
          <w:rPr>
            <w:noProof/>
            <w:webHidden/>
          </w:rPr>
          <w:fldChar w:fldCharType="begin"/>
        </w:r>
        <w:r w:rsidR="00376291" w:rsidRPr="00C51B6E">
          <w:rPr>
            <w:noProof/>
            <w:webHidden/>
          </w:rPr>
          <w:instrText xml:space="preserve"> PAGEREF _Toc479009927 \h </w:instrText>
        </w:r>
        <w:r w:rsidRPr="00C51B6E">
          <w:rPr>
            <w:noProof/>
            <w:webHidden/>
          </w:rPr>
        </w:r>
        <w:r w:rsidRPr="00C51B6E">
          <w:rPr>
            <w:noProof/>
            <w:webHidden/>
          </w:rPr>
          <w:fldChar w:fldCharType="separate"/>
        </w:r>
        <w:r w:rsidR="003027C1">
          <w:rPr>
            <w:noProof/>
            <w:webHidden/>
          </w:rPr>
          <w:t>34</w:t>
        </w:r>
        <w:r w:rsidRPr="00C51B6E">
          <w:rPr>
            <w:noProof/>
            <w:webHidden/>
          </w:rPr>
          <w:fldChar w:fldCharType="end"/>
        </w:r>
      </w:hyperlink>
    </w:p>
    <w:p w:rsidR="00376291" w:rsidRPr="00C51B6E" w:rsidRDefault="001B585D">
      <w:pPr>
        <w:pStyle w:val="TM2"/>
        <w:tabs>
          <w:tab w:val="left" w:pos="880"/>
          <w:tab w:val="right" w:leader="dot" w:pos="8493"/>
        </w:tabs>
        <w:rPr>
          <w:rFonts w:asciiTheme="minorHAnsi" w:eastAsiaTheme="minorEastAsia" w:hAnsiTheme="minorHAnsi" w:cstheme="minorBidi"/>
          <w:noProof/>
          <w:color w:val="auto"/>
          <w:sz w:val="22"/>
          <w:szCs w:val="22"/>
        </w:rPr>
      </w:pPr>
      <w:hyperlink w:anchor="_Toc479009928" w:history="1">
        <w:r w:rsidR="00376291" w:rsidRPr="00C51B6E">
          <w:rPr>
            <w:rStyle w:val="Lienhypertexte"/>
            <w:noProof/>
          </w:rPr>
          <w:t>5.4.</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Évolution du coût de l'éducation</w:t>
        </w:r>
        <w:r w:rsidR="00376291" w:rsidRPr="00C51B6E">
          <w:rPr>
            <w:noProof/>
            <w:webHidden/>
          </w:rPr>
          <w:tab/>
        </w:r>
        <w:r w:rsidRPr="00C51B6E">
          <w:rPr>
            <w:noProof/>
            <w:webHidden/>
          </w:rPr>
          <w:fldChar w:fldCharType="begin"/>
        </w:r>
        <w:r w:rsidR="00376291" w:rsidRPr="00C51B6E">
          <w:rPr>
            <w:noProof/>
            <w:webHidden/>
          </w:rPr>
          <w:instrText xml:space="preserve"> PAGEREF _Toc479009928 \h </w:instrText>
        </w:r>
        <w:r w:rsidRPr="00C51B6E">
          <w:rPr>
            <w:noProof/>
            <w:webHidden/>
          </w:rPr>
        </w:r>
        <w:r w:rsidRPr="00C51B6E">
          <w:rPr>
            <w:noProof/>
            <w:webHidden/>
          </w:rPr>
          <w:fldChar w:fldCharType="separate"/>
        </w:r>
        <w:r w:rsidR="003027C1">
          <w:rPr>
            <w:noProof/>
            <w:webHidden/>
          </w:rPr>
          <w:t>37</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29" w:history="1">
        <w:r w:rsidR="00376291" w:rsidRPr="00C51B6E">
          <w:rPr>
            <w:rStyle w:val="Lienhypertexte"/>
            <w:noProof/>
          </w:rPr>
          <w:t>6.</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Conclusions</w:t>
        </w:r>
        <w:r w:rsidR="00376291" w:rsidRPr="00C51B6E">
          <w:rPr>
            <w:noProof/>
            <w:webHidden/>
          </w:rPr>
          <w:tab/>
        </w:r>
        <w:r w:rsidRPr="00C51B6E">
          <w:rPr>
            <w:noProof/>
            <w:webHidden/>
          </w:rPr>
          <w:fldChar w:fldCharType="begin"/>
        </w:r>
        <w:r w:rsidR="00376291" w:rsidRPr="00C51B6E">
          <w:rPr>
            <w:noProof/>
            <w:webHidden/>
          </w:rPr>
          <w:instrText xml:space="preserve"> PAGEREF _Toc479009929 \h </w:instrText>
        </w:r>
        <w:r w:rsidRPr="00C51B6E">
          <w:rPr>
            <w:noProof/>
            <w:webHidden/>
          </w:rPr>
        </w:r>
        <w:r w:rsidRPr="00C51B6E">
          <w:rPr>
            <w:noProof/>
            <w:webHidden/>
          </w:rPr>
          <w:fldChar w:fldCharType="separate"/>
        </w:r>
        <w:r w:rsidR="003027C1">
          <w:rPr>
            <w:noProof/>
            <w:webHidden/>
          </w:rPr>
          <w:t>41</w:t>
        </w:r>
        <w:r w:rsidRPr="00C51B6E">
          <w:rPr>
            <w:noProof/>
            <w:webHidden/>
          </w:rPr>
          <w:fldChar w:fldCharType="end"/>
        </w:r>
      </w:hyperlink>
    </w:p>
    <w:p w:rsidR="00376291" w:rsidRPr="00C51B6E" w:rsidRDefault="001B585D">
      <w:pPr>
        <w:pStyle w:val="TM1"/>
        <w:tabs>
          <w:tab w:val="left" w:pos="480"/>
          <w:tab w:val="right" w:leader="dot" w:pos="8493"/>
        </w:tabs>
        <w:rPr>
          <w:rFonts w:asciiTheme="minorHAnsi" w:eastAsiaTheme="minorEastAsia" w:hAnsiTheme="minorHAnsi" w:cstheme="minorBidi"/>
          <w:noProof/>
          <w:color w:val="auto"/>
          <w:sz w:val="22"/>
          <w:szCs w:val="22"/>
        </w:rPr>
      </w:pPr>
      <w:hyperlink w:anchor="_Toc479009930" w:history="1">
        <w:r w:rsidR="00376291" w:rsidRPr="00C51B6E">
          <w:rPr>
            <w:rStyle w:val="Lienhypertexte"/>
            <w:noProof/>
          </w:rPr>
          <w:t>7.</w:t>
        </w:r>
        <w:r w:rsidR="00376291" w:rsidRPr="00C51B6E">
          <w:rPr>
            <w:rFonts w:asciiTheme="minorHAnsi" w:eastAsiaTheme="minorEastAsia" w:hAnsiTheme="minorHAnsi" w:cstheme="minorBidi"/>
            <w:noProof/>
            <w:color w:val="auto"/>
            <w:sz w:val="22"/>
            <w:szCs w:val="22"/>
          </w:rPr>
          <w:tab/>
        </w:r>
        <w:r w:rsidR="00376291" w:rsidRPr="00C51B6E">
          <w:rPr>
            <w:rStyle w:val="Lienhypertexte"/>
            <w:noProof/>
          </w:rPr>
          <w:t>Recommandations</w:t>
        </w:r>
        <w:r w:rsidR="00376291" w:rsidRPr="00C51B6E">
          <w:rPr>
            <w:noProof/>
            <w:webHidden/>
          </w:rPr>
          <w:tab/>
        </w:r>
        <w:r w:rsidRPr="00C51B6E">
          <w:rPr>
            <w:noProof/>
            <w:webHidden/>
          </w:rPr>
          <w:fldChar w:fldCharType="begin"/>
        </w:r>
        <w:r w:rsidR="00376291" w:rsidRPr="00C51B6E">
          <w:rPr>
            <w:noProof/>
            <w:webHidden/>
          </w:rPr>
          <w:instrText xml:space="preserve"> PAGEREF _Toc479009930 \h </w:instrText>
        </w:r>
        <w:r w:rsidRPr="00C51B6E">
          <w:rPr>
            <w:noProof/>
            <w:webHidden/>
          </w:rPr>
        </w:r>
        <w:r w:rsidRPr="00C51B6E">
          <w:rPr>
            <w:noProof/>
            <w:webHidden/>
          </w:rPr>
          <w:fldChar w:fldCharType="separate"/>
        </w:r>
        <w:r w:rsidR="003027C1">
          <w:rPr>
            <w:noProof/>
            <w:webHidden/>
          </w:rPr>
          <w:t>42</w:t>
        </w:r>
        <w:r w:rsidRPr="00C51B6E">
          <w:rPr>
            <w:noProof/>
            <w:webHidden/>
          </w:rPr>
          <w:fldChar w:fldCharType="end"/>
        </w:r>
      </w:hyperlink>
    </w:p>
    <w:p w:rsidR="00376291" w:rsidRPr="00C51B6E"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31" w:history="1">
        <w:r w:rsidR="00376291" w:rsidRPr="00C51B6E">
          <w:rPr>
            <w:rStyle w:val="Lienhypertexte"/>
            <w:noProof/>
            <w:lang w:val="fr-CA"/>
          </w:rPr>
          <w:t>Références</w:t>
        </w:r>
        <w:r w:rsidR="00376291" w:rsidRPr="00C51B6E">
          <w:rPr>
            <w:noProof/>
            <w:webHidden/>
          </w:rPr>
          <w:tab/>
        </w:r>
        <w:r w:rsidRPr="00C51B6E">
          <w:rPr>
            <w:noProof/>
            <w:webHidden/>
          </w:rPr>
          <w:fldChar w:fldCharType="begin"/>
        </w:r>
        <w:r w:rsidR="00376291" w:rsidRPr="00C51B6E">
          <w:rPr>
            <w:noProof/>
            <w:webHidden/>
          </w:rPr>
          <w:instrText xml:space="preserve"> PAGEREF _Toc479009931 \h </w:instrText>
        </w:r>
        <w:r w:rsidRPr="00C51B6E">
          <w:rPr>
            <w:noProof/>
            <w:webHidden/>
          </w:rPr>
        </w:r>
        <w:r w:rsidRPr="00C51B6E">
          <w:rPr>
            <w:noProof/>
            <w:webHidden/>
          </w:rPr>
          <w:fldChar w:fldCharType="separate"/>
        </w:r>
        <w:r w:rsidR="003027C1">
          <w:rPr>
            <w:noProof/>
            <w:webHidden/>
          </w:rPr>
          <w:t>44</w:t>
        </w:r>
        <w:r w:rsidRPr="00C51B6E">
          <w:rPr>
            <w:noProof/>
            <w:webHidden/>
          </w:rPr>
          <w:fldChar w:fldCharType="end"/>
        </w:r>
      </w:hyperlink>
    </w:p>
    <w:p w:rsidR="00376291" w:rsidRDefault="001B585D">
      <w:pPr>
        <w:pStyle w:val="TM1"/>
        <w:tabs>
          <w:tab w:val="right" w:leader="dot" w:pos="8493"/>
        </w:tabs>
        <w:rPr>
          <w:rFonts w:asciiTheme="minorHAnsi" w:eastAsiaTheme="minorEastAsia" w:hAnsiTheme="minorHAnsi" w:cstheme="minorBidi"/>
          <w:noProof/>
          <w:color w:val="auto"/>
          <w:sz w:val="22"/>
          <w:szCs w:val="22"/>
        </w:rPr>
      </w:pPr>
      <w:hyperlink w:anchor="_Toc479009932" w:history="1">
        <w:r w:rsidR="00376291" w:rsidRPr="00C51B6E">
          <w:rPr>
            <w:rStyle w:val="Lienhypertexte"/>
            <w:rFonts w:ascii="Arial Black" w:hAnsi="Arial Black"/>
            <w:noProof/>
          </w:rPr>
          <w:t>Annexes</w:t>
        </w:r>
        <w:r w:rsidR="00376291" w:rsidRPr="00C51B6E">
          <w:rPr>
            <w:noProof/>
            <w:webHidden/>
          </w:rPr>
          <w:tab/>
        </w:r>
        <w:r w:rsidRPr="00C51B6E">
          <w:rPr>
            <w:noProof/>
            <w:webHidden/>
          </w:rPr>
          <w:fldChar w:fldCharType="begin"/>
        </w:r>
        <w:r w:rsidR="00376291" w:rsidRPr="00C51B6E">
          <w:rPr>
            <w:noProof/>
            <w:webHidden/>
          </w:rPr>
          <w:instrText xml:space="preserve"> PAGEREF _Toc479009932 \h </w:instrText>
        </w:r>
        <w:r w:rsidRPr="00C51B6E">
          <w:rPr>
            <w:noProof/>
            <w:webHidden/>
          </w:rPr>
        </w:r>
        <w:r w:rsidRPr="00C51B6E">
          <w:rPr>
            <w:noProof/>
            <w:webHidden/>
          </w:rPr>
          <w:fldChar w:fldCharType="separate"/>
        </w:r>
        <w:r w:rsidR="003027C1">
          <w:rPr>
            <w:noProof/>
            <w:webHidden/>
          </w:rPr>
          <w:t>1</w:t>
        </w:r>
        <w:r w:rsidRPr="00C51B6E">
          <w:rPr>
            <w:noProof/>
            <w:webHidden/>
          </w:rPr>
          <w:fldChar w:fldCharType="end"/>
        </w:r>
      </w:hyperlink>
    </w:p>
    <w:p w:rsidR="00A94BEF" w:rsidRDefault="001B585D" w:rsidP="008E776A">
      <w:pPr>
        <w:pStyle w:val="Titre1"/>
        <w:jc w:val="both"/>
        <w:rPr>
          <w:sz w:val="24"/>
          <w:szCs w:val="24"/>
        </w:rPr>
      </w:pPr>
      <w:r>
        <w:rPr>
          <w:sz w:val="24"/>
          <w:szCs w:val="24"/>
        </w:rPr>
        <w:fldChar w:fldCharType="end"/>
      </w:r>
    </w:p>
    <w:p w:rsidR="00A94BEF" w:rsidRDefault="00A94BEF">
      <w:pPr>
        <w:rPr>
          <w:rFonts w:ascii="Times New Roman Gras" w:hAnsi="Times New Roman Gras" w:cs="Times New Roman Gras"/>
          <w:b/>
          <w:bCs/>
          <w:smallCaps/>
          <w:color w:val="000000"/>
        </w:rPr>
      </w:pPr>
      <w:r>
        <w:br w:type="page"/>
      </w:r>
    </w:p>
    <w:p w:rsidR="008E776A" w:rsidRDefault="008E776A" w:rsidP="008E776A">
      <w:pPr>
        <w:pStyle w:val="Titre1"/>
        <w:jc w:val="both"/>
      </w:pPr>
      <w:bookmarkStart w:id="10" w:name="_Toc479009907"/>
      <w:r w:rsidRPr="00D80FA0">
        <w:lastRenderedPageBreak/>
        <w:t>Liste des figures</w:t>
      </w:r>
      <w:bookmarkEnd w:id="9"/>
      <w:bookmarkEnd w:id="10"/>
    </w:p>
    <w:p w:rsidR="00CE2B53" w:rsidRDefault="001B585D" w:rsidP="000B5D5F">
      <w:pPr>
        <w:pStyle w:val="Tabledesillustrations"/>
        <w:tabs>
          <w:tab w:val="right" w:leader="dot" w:pos="8493"/>
        </w:tabs>
        <w:spacing w:after="100"/>
        <w:rPr>
          <w:rFonts w:asciiTheme="minorHAnsi" w:eastAsiaTheme="minorEastAsia" w:hAnsiTheme="minorHAnsi" w:cstheme="minorBidi"/>
          <w:noProof/>
          <w:color w:val="auto"/>
          <w:sz w:val="22"/>
          <w:szCs w:val="22"/>
        </w:rPr>
      </w:pPr>
      <w:r>
        <w:rPr>
          <w:rFonts w:ascii="Tw Cen MT" w:hAnsi="Tw Cen MT" w:cs="Tw Cen MT"/>
          <w:bCs/>
        </w:rPr>
        <w:fldChar w:fldCharType="begin"/>
      </w:r>
      <w:r w:rsidR="00A94BEF">
        <w:rPr>
          <w:rFonts w:ascii="Tw Cen MT" w:hAnsi="Tw Cen MT" w:cs="Tw Cen MT"/>
          <w:bCs/>
        </w:rPr>
        <w:instrText xml:space="preserve"> TOC \h \z \c "Figure" </w:instrText>
      </w:r>
      <w:r>
        <w:rPr>
          <w:rFonts w:ascii="Tw Cen MT" w:hAnsi="Tw Cen MT" w:cs="Tw Cen MT"/>
          <w:bCs/>
        </w:rPr>
        <w:fldChar w:fldCharType="separate"/>
      </w:r>
      <w:hyperlink w:anchor="_Toc479007711" w:history="1">
        <w:r w:rsidR="00CE2B53" w:rsidRPr="003354C3">
          <w:rPr>
            <w:rStyle w:val="Lienhypertexte"/>
            <w:noProof/>
          </w:rPr>
          <w:t>Figure 1 : Sous-modèle démographique (Moreland et al., 2014).</w:t>
        </w:r>
        <w:r w:rsidR="00CE2B53">
          <w:rPr>
            <w:noProof/>
            <w:webHidden/>
          </w:rPr>
          <w:tab/>
        </w:r>
        <w:r>
          <w:rPr>
            <w:noProof/>
            <w:webHidden/>
          </w:rPr>
          <w:fldChar w:fldCharType="begin"/>
        </w:r>
        <w:r w:rsidR="00CE2B53">
          <w:rPr>
            <w:noProof/>
            <w:webHidden/>
          </w:rPr>
          <w:instrText xml:space="preserve"> PAGEREF _Toc479007711 \h </w:instrText>
        </w:r>
        <w:r>
          <w:rPr>
            <w:noProof/>
            <w:webHidden/>
          </w:rPr>
        </w:r>
        <w:r>
          <w:rPr>
            <w:noProof/>
            <w:webHidden/>
          </w:rPr>
          <w:fldChar w:fldCharType="separate"/>
        </w:r>
        <w:r w:rsidR="003027C1">
          <w:rPr>
            <w:noProof/>
            <w:webHidden/>
          </w:rPr>
          <w:t>14</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2" w:history="1">
        <w:r w:rsidR="00CE2B53" w:rsidRPr="003354C3">
          <w:rPr>
            <w:rStyle w:val="Lienhypertexte"/>
            <w:noProof/>
          </w:rPr>
          <w:t>Figure 2 : Sous-modèle économique (Moreland et al., 2014).</w:t>
        </w:r>
        <w:r w:rsidR="00CE2B53">
          <w:rPr>
            <w:noProof/>
            <w:webHidden/>
          </w:rPr>
          <w:tab/>
        </w:r>
        <w:r>
          <w:rPr>
            <w:noProof/>
            <w:webHidden/>
          </w:rPr>
          <w:fldChar w:fldCharType="begin"/>
        </w:r>
        <w:r w:rsidR="00CE2B53">
          <w:rPr>
            <w:noProof/>
            <w:webHidden/>
          </w:rPr>
          <w:instrText xml:space="preserve"> PAGEREF _Toc479007712 \h </w:instrText>
        </w:r>
        <w:r>
          <w:rPr>
            <w:noProof/>
            <w:webHidden/>
          </w:rPr>
        </w:r>
        <w:r>
          <w:rPr>
            <w:noProof/>
            <w:webHidden/>
          </w:rPr>
          <w:fldChar w:fldCharType="separate"/>
        </w:r>
        <w:r w:rsidR="003027C1">
          <w:rPr>
            <w:noProof/>
            <w:webHidden/>
          </w:rPr>
          <w:t>15</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3" w:history="1">
        <w:r w:rsidR="00CE2B53" w:rsidRPr="003354C3">
          <w:rPr>
            <w:rStyle w:val="Lienhypertexte"/>
            <w:noProof/>
          </w:rPr>
          <w:t>Figure 3: Variables clés pour transformer le bonus démographique en dividende démographique.</w:t>
        </w:r>
        <w:r w:rsidR="00CE2B53">
          <w:rPr>
            <w:noProof/>
            <w:webHidden/>
          </w:rPr>
          <w:tab/>
        </w:r>
        <w:r>
          <w:rPr>
            <w:noProof/>
            <w:webHidden/>
          </w:rPr>
          <w:fldChar w:fldCharType="begin"/>
        </w:r>
        <w:r w:rsidR="00CE2B53">
          <w:rPr>
            <w:noProof/>
            <w:webHidden/>
          </w:rPr>
          <w:instrText xml:space="preserve"> PAGEREF _Toc479007713 \h </w:instrText>
        </w:r>
        <w:r>
          <w:rPr>
            <w:noProof/>
            <w:webHidden/>
          </w:rPr>
        </w:r>
        <w:r>
          <w:rPr>
            <w:noProof/>
            <w:webHidden/>
          </w:rPr>
          <w:fldChar w:fldCharType="separate"/>
        </w:r>
        <w:r w:rsidR="003027C1">
          <w:rPr>
            <w:noProof/>
            <w:webHidden/>
          </w:rPr>
          <w:t>16</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4" w:history="1">
        <w:r w:rsidR="00CE2B53" w:rsidRPr="003354C3">
          <w:rPr>
            <w:rStyle w:val="Lienhypertexte"/>
            <w:noProof/>
          </w:rPr>
          <w:t>Figure 4: Stock de capital public (en milliards FCFA) au Cameroun.</w:t>
        </w:r>
        <w:r w:rsidR="00CE2B53">
          <w:rPr>
            <w:noProof/>
            <w:webHidden/>
          </w:rPr>
          <w:tab/>
        </w:r>
        <w:r>
          <w:rPr>
            <w:noProof/>
            <w:webHidden/>
          </w:rPr>
          <w:fldChar w:fldCharType="begin"/>
        </w:r>
        <w:r w:rsidR="00CE2B53">
          <w:rPr>
            <w:noProof/>
            <w:webHidden/>
          </w:rPr>
          <w:instrText xml:space="preserve"> PAGEREF _Toc479007714 \h </w:instrText>
        </w:r>
        <w:r>
          <w:rPr>
            <w:noProof/>
            <w:webHidden/>
          </w:rPr>
        </w:r>
        <w:r>
          <w:rPr>
            <w:noProof/>
            <w:webHidden/>
          </w:rPr>
          <w:fldChar w:fldCharType="separate"/>
        </w:r>
        <w:r w:rsidR="003027C1">
          <w:rPr>
            <w:noProof/>
            <w:webHidden/>
          </w:rPr>
          <w:t>20</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5" w:history="1">
        <w:r w:rsidR="00CE2B53" w:rsidRPr="003354C3">
          <w:rPr>
            <w:rStyle w:val="Lienhypertexte"/>
            <w:noProof/>
          </w:rPr>
          <w:t>Figure 5: Produit Intérieur Brut en dollars US au Cameroun.</w:t>
        </w:r>
        <w:r w:rsidR="00CE2B53">
          <w:rPr>
            <w:noProof/>
            <w:webHidden/>
          </w:rPr>
          <w:tab/>
        </w:r>
        <w:r>
          <w:rPr>
            <w:noProof/>
            <w:webHidden/>
          </w:rPr>
          <w:fldChar w:fldCharType="begin"/>
        </w:r>
        <w:r w:rsidR="00CE2B53">
          <w:rPr>
            <w:noProof/>
            <w:webHidden/>
          </w:rPr>
          <w:instrText xml:space="preserve"> PAGEREF _Toc479007715 \h </w:instrText>
        </w:r>
        <w:r>
          <w:rPr>
            <w:noProof/>
            <w:webHidden/>
          </w:rPr>
        </w:r>
        <w:r>
          <w:rPr>
            <w:noProof/>
            <w:webHidden/>
          </w:rPr>
          <w:fldChar w:fldCharType="separate"/>
        </w:r>
        <w:r w:rsidR="003027C1">
          <w:rPr>
            <w:noProof/>
            <w:webHidden/>
          </w:rPr>
          <w:t>22</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6" w:history="1">
        <w:r w:rsidR="00CE2B53" w:rsidRPr="003354C3">
          <w:rPr>
            <w:rStyle w:val="Lienhypertexte"/>
            <w:noProof/>
          </w:rPr>
          <w:t>Figure 6: Produit Intérieur Brut par habitant au Cameroun.</w:t>
        </w:r>
        <w:r w:rsidR="00CE2B53">
          <w:rPr>
            <w:noProof/>
            <w:webHidden/>
          </w:rPr>
          <w:tab/>
        </w:r>
        <w:r>
          <w:rPr>
            <w:noProof/>
            <w:webHidden/>
          </w:rPr>
          <w:fldChar w:fldCharType="begin"/>
        </w:r>
        <w:r w:rsidR="00CE2B53">
          <w:rPr>
            <w:noProof/>
            <w:webHidden/>
          </w:rPr>
          <w:instrText xml:space="preserve"> PAGEREF _Toc479007716 \h </w:instrText>
        </w:r>
        <w:r>
          <w:rPr>
            <w:noProof/>
            <w:webHidden/>
          </w:rPr>
        </w:r>
        <w:r>
          <w:rPr>
            <w:noProof/>
            <w:webHidden/>
          </w:rPr>
          <w:fldChar w:fldCharType="separate"/>
        </w:r>
        <w:r w:rsidR="003027C1">
          <w:rPr>
            <w:noProof/>
            <w:webHidden/>
          </w:rPr>
          <w:t>23</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7" w:history="1">
        <w:r w:rsidR="00CE2B53" w:rsidRPr="003354C3">
          <w:rPr>
            <w:rStyle w:val="Lienhypertexte"/>
            <w:noProof/>
          </w:rPr>
          <w:t>Figure 7: Évolution des rapports de dépendance au Cameroun selon les différents scénarii.</w:t>
        </w:r>
        <w:r w:rsidR="00CE2B53">
          <w:rPr>
            <w:noProof/>
            <w:webHidden/>
          </w:rPr>
          <w:tab/>
        </w:r>
        <w:r>
          <w:rPr>
            <w:noProof/>
            <w:webHidden/>
          </w:rPr>
          <w:fldChar w:fldCharType="begin"/>
        </w:r>
        <w:r w:rsidR="00CE2B53">
          <w:rPr>
            <w:noProof/>
            <w:webHidden/>
          </w:rPr>
          <w:instrText xml:space="preserve"> PAGEREF _Toc479007717 \h </w:instrText>
        </w:r>
        <w:r>
          <w:rPr>
            <w:noProof/>
            <w:webHidden/>
          </w:rPr>
        </w:r>
        <w:r>
          <w:rPr>
            <w:noProof/>
            <w:webHidden/>
          </w:rPr>
          <w:fldChar w:fldCharType="separate"/>
        </w:r>
        <w:r w:rsidR="003027C1">
          <w:rPr>
            <w:noProof/>
            <w:webHidden/>
          </w:rPr>
          <w:t>31</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8" w:history="1">
        <w:r w:rsidR="00CE2B53" w:rsidRPr="003354C3">
          <w:rPr>
            <w:rStyle w:val="Lienhypertexte"/>
            <w:noProof/>
          </w:rPr>
          <w:t>Figure 8: Évolution de la structure de la population par âge au Cameroun.</w:t>
        </w:r>
        <w:r w:rsidR="00CE2B53">
          <w:rPr>
            <w:noProof/>
            <w:webHidden/>
          </w:rPr>
          <w:tab/>
        </w:r>
        <w:r>
          <w:rPr>
            <w:noProof/>
            <w:webHidden/>
          </w:rPr>
          <w:fldChar w:fldCharType="begin"/>
        </w:r>
        <w:r w:rsidR="00CE2B53">
          <w:rPr>
            <w:noProof/>
            <w:webHidden/>
          </w:rPr>
          <w:instrText xml:space="preserve"> PAGEREF _Toc479007718 \h </w:instrText>
        </w:r>
        <w:r>
          <w:rPr>
            <w:noProof/>
            <w:webHidden/>
          </w:rPr>
        </w:r>
        <w:r>
          <w:rPr>
            <w:noProof/>
            <w:webHidden/>
          </w:rPr>
          <w:fldChar w:fldCharType="separate"/>
        </w:r>
        <w:r w:rsidR="003027C1">
          <w:rPr>
            <w:noProof/>
            <w:webHidden/>
          </w:rPr>
          <w:t>32</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19" w:history="1">
        <w:r w:rsidR="00CE2B53" w:rsidRPr="003354C3">
          <w:rPr>
            <w:rStyle w:val="Lienhypertexte"/>
            <w:noProof/>
          </w:rPr>
          <w:t>Figure 9: Évolution de l’investissement par tête.</w:t>
        </w:r>
        <w:r w:rsidR="00CE2B53">
          <w:rPr>
            <w:noProof/>
            <w:webHidden/>
          </w:rPr>
          <w:tab/>
        </w:r>
        <w:r>
          <w:rPr>
            <w:noProof/>
            <w:webHidden/>
          </w:rPr>
          <w:fldChar w:fldCharType="begin"/>
        </w:r>
        <w:r w:rsidR="00CE2B53">
          <w:rPr>
            <w:noProof/>
            <w:webHidden/>
          </w:rPr>
          <w:instrText xml:space="preserve"> PAGEREF _Toc479007719 \h </w:instrText>
        </w:r>
        <w:r>
          <w:rPr>
            <w:noProof/>
            <w:webHidden/>
          </w:rPr>
        </w:r>
        <w:r>
          <w:rPr>
            <w:noProof/>
            <w:webHidden/>
          </w:rPr>
          <w:fldChar w:fldCharType="separate"/>
        </w:r>
        <w:r w:rsidR="003027C1">
          <w:rPr>
            <w:noProof/>
            <w:webHidden/>
          </w:rPr>
          <w:t>35</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20" w:history="1">
        <w:r w:rsidR="00CE2B53" w:rsidRPr="003354C3">
          <w:rPr>
            <w:rStyle w:val="Lienhypertexte"/>
            <w:noProof/>
          </w:rPr>
          <w:t>Figure 10: Évolution du produit intérieur brut (PIB en milliards de dollars).</w:t>
        </w:r>
        <w:r w:rsidR="00CE2B53">
          <w:rPr>
            <w:noProof/>
            <w:webHidden/>
          </w:rPr>
          <w:tab/>
        </w:r>
        <w:r>
          <w:rPr>
            <w:noProof/>
            <w:webHidden/>
          </w:rPr>
          <w:fldChar w:fldCharType="begin"/>
        </w:r>
        <w:r w:rsidR="00CE2B53">
          <w:rPr>
            <w:noProof/>
            <w:webHidden/>
          </w:rPr>
          <w:instrText xml:space="preserve"> PAGEREF _Toc479007720 \h </w:instrText>
        </w:r>
        <w:r>
          <w:rPr>
            <w:noProof/>
            <w:webHidden/>
          </w:rPr>
        </w:r>
        <w:r>
          <w:rPr>
            <w:noProof/>
            <w:webHidden/>
          </w:rPr>
          <w:fldChar w:fldCharType="separate"/>
        </w:r>
        <w:r w:rsidR="003027C1">
          <w:rPr>
            <w:noProof/>
            <w:webHidden/>
          </w:rPr>
          <w:t>36</w:t>
        </w:r>
        <w:r>
          <w:rPr>
            <w:noProof/>
            <w:webHidden/>
          </w:rPr>
          <w:fldChar w:fldCharType="end"/>
        </w:r>
      </w:hyperlink>
    </w:p>
    <w:p w:rsidR="00CE2B53"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7721" w:history="1">
        <w:r w:rsidR="00CE2B53" w:rsidRPr="003354C3">
          <w:rPr>
            <w:rStyle w:val="Lienhypertexte"/>
            <w:noProof/>
          </w:rPr>
          <w:t>Figure 11: Évolution du produit intérieur brut par tête.</w:t>
        </w:r>
        <w:r w:rsidR="00CE2B53">
          <w:rPr>
            <w:noProof/>
            <w:webHidden/>
          </w:rPr>
          <w:tab/>
        </w:r>
        <w:r>
          <w:rPr>
            <w:noProof/>
            <w:webHidden/>
          </w:rPr>
          <w:fldChar w:fldCharType="begin"/>
        </w:r>
        <w:r w:rsidR="00CE2B53">
          <w:rPr>
            <w:noProof/>
            <w:webHidden/>
          </w:rPr>
          <w:instrText xml:space="preserve"> PAGEREF _Toc479007721 \h </w:instrText>
        </w:r>
        <w:r>
          <w:rPr>
            <w:noProof/>
            <w:webHidden/>
          </w:rPr>
        </w:r>
        <w:r>
          <w:rPr>
            <w:noProof/>
            <w:webHidden/>
          </w:rPr>
          <w:fldChar w:fldCharType="separate"/>
        </w:r>
        <w:r w:rsidR="003027C1">
          <w:rPr>
            <w:noProof/>
            <w:webHidden/>
          </w:rPr>
          <w:t>37</w:t>
        </w:r>
        <w:r>
          <w:rPr>
            <w:noProof/>
            <w:webHidden/>
          </w:rPr>
          <w:fldChar w:fldCharType="end"/>
        </w:r>
      </w:hyperlink>
    </w:p>
    <w:p w:rsidR="008E776A" w:rsidRDefault="001B585D" w:rsidP="00A94BEF">
      <w:pPr>
        <w:rPr>
          <w:rFonts w:ascii="Tw Cen MT" w:hAnsi="Tw Cen MT" w:cs="Tw Cen MT"/>
          <w:bCs/>
        </w:rPr>
      </w:pPr>
      <w:r>
        <w:rPr>
          <w:rFonts w:ascii="Tw Cen MT" w:hAnsi="Tw Cen MT" w:cs="Tw Cen MT"/>
          <w:bCs/>
          <w:color w:val="000000"/>
        </w:rPr>
        <w:fldChar w:fldCharType="end"/>
      </w:r>
      <w:r w:rsidR="008E776A">
        <w:rPr>
          <w:rFonts w:ascii="Tw Cen MT" w:hAnsi="Tw Cen MT" w:cs="Tw Cen MT"/>
          <w:bCs/>
        </w:rPr>
        <w:br w:type="page"/>
      </w:r>
    </w:p>
    <w:p w:rsidR="00191178" w:rsidRDefault="00191178" w:rsidP="00191178">
      <w:pPr>
        <w:pStyle w:val="Titre1"/>
        <w:jc w:val="both"/>
      </w:pPr>
      <w:bookmarkStart w:id="11" w:name="_Toc479009908"/>
      <w:r>
        <w:lastRenderedPageBreak/>
        <w:t>Liste des tableaux</w:t>
      </w:r>
      <w:bookmarkEnd w:id="11"/>
    </w:p>
    <w:p w:rsidR="00E43B03" w:rsidRPr="00C51B6E" w:rsidRDefault="001B585D" w:rsidP="000B5D5F">
      <w:pPr>
        <w:pStyle w:val="Tabledesillustrations"/>
        <w:tabs>
          <w:tab w:val="right" w:leader="dot" w:pos="8493"/>
        </w:tabs>
        <w:spacing w:before="0" w:after="100"/>
        <w:rPr>
          <w:rFonts w:asciiTheme="minorHAnsi" w:eastAsiaTheme="minorEastAsia" w:hAnsiTheme="minorHAnsi" w:cstheme="minorBidi"/>
          <w:noProof/>
          <w:color w:val="auto"/>
          <w:sz w:val="22"/>
          <w:szCs w:val="22"/>
        </w:rPr>
      </w:pPr>
      <w:r w:rsidRPr="001B585D">
        <w:fldChar w:fldCharType="begin"/>
      </w:r>
      <w:r w:rsidR="00191178" w:rsidRPr="00C51B6E">
        <w:instrText xml:space="preserve"> TOC \h \z \c "Tableau" </w:instrText>
      </w:r>
      <w:r w:rsidRPr="001B585D">
        <w:fldChar w:fldCharType="separate"/>
      </w:r>
      <w:hyperlink w:anchor="_Toc479009477" w:history="1">
        <w:r w:rsidR="00E43B03" w:rsidRPr="00C51B6E">
          <w:rPr>
            <w:rStyle w:val="Lienhypertexte"/>
            <w:noProof/>
          </w:rPr>
          <w:t>Tableau 1: Synthèse des hypothèses sur les variables de contrôle.</w:t>
        </w:r>
        <w:r w:rsidR="00E43B03" w:rsidRPr="00C51B6E">
          <w:rPr>
            <w:noProof/>
            <w:webHidden/>
          </w:rPr>
          <w:tab/>
        </w:r>
        <w:r w:rsidRPr="00C51B6E">
          <w:rPr>
            <w:noProof/>
            <w:webHidden/>
          </w:rPr>
          <w:fldChar w:fldCharType="begin"/>
        </w:r>
        <w:r w:rsidR="00E43B03" w:rsidRPr="00C51B6E">
          <w:rPr>
            <w:noProof/>
            <w:webHidden/>
          </w:rPr>
          <w:instrText xml:space="preserve"> PAGEREF _Toc479009477 \h </w:instrText>
        </w:r>
        <w:r w:rsidRPr="00C51B6E">
          <w:rPr>
            <w:noProof/>
            <w:webHidden/>
          </w:rPr>
        </w:r>
        <w:r w:rsidRPr="00C51B6E">
          <w:rPr>
            <w:noProof/>
            <w:webHidden/>
          </w:rPr>
          <w:fldChar w:fldCharType="separate"/>
        </w:r>
        <w:r w:rsidR="003027C1">
          <w:rPr>
            <w:noProof/>
            <w:webHidden/>
          </w:rPr>
          <w:t>30</w:t>
        </w:r>
        <w:r w:rsidRPr="00C51B6E">
          <w:rPr>
            <w:noProof/>
            <w:webHidden/>
          </w:rPr>
          <w:fldChar w:fldCharType="end"/>
        </w:r>
      </w:hyperlink>
    </w:p>
    <w:p w:rsidR="00E43B03" w:rsidRPr="00C51B6E"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9478" w:history="1">
        <w:r w:rsidR="00E43B03" w:rsidRPr="00C51B6E">
          <w:rPr>
            <w:rStyle w:val="Lienhypertexte"/>
            <w:noProof/>
          </w:rPr>
          <w:t>Tableau 2: Évolution du rapport de dépendance (%) en quelques années de référence.</w:t>
        </w:r>
        <w:r w:rsidR="00E43B03" w:rsidRPr="00C51B6E">
          <w:rPr>
            <w:noProof/>
            <w:webHidden/>
          </w:rPr>
          <w:tab/>
        </w:r>
        <w:r w:rsidRPr="00C51B6E">
          <w:rPr>
            <w:noProof/>
            <w:webHidden/>
          </w:rPr>
          <w:fldChar w:fldCharType="begin"/>
        </w:r>
        <w:r w:rsidR="00E43B03" w:rsidRPr="00C51B6E">
          <w:rPr>
            <w:noProof/>
            <w:webHidden/>
          </w:rPr>
          <w:instrText xml:space="preserve"> PAGEREF _Toc479009478 \h </w:instrText>
        </w:r>
        <w:r w:rsidRPr="00C51B6E">
          <w:rPr>
            <w:noProof/>
            <w:webHidden/>
          </w:rPr>
        </w:r>
        <w:r w:rsidRPr="00C51B6E">
          <w:rPr>
            <w:noProof/>
            <w:webHidden/>
          </w:rPr>
          <w:fldChar w:fldCharType="separate"/>
        </w:r>
        <w:r w:rsidR="003027C1">
          <w:rPr>
            <w:noProof/>
            <w:webHidden/>
          </w:rPr>
          <w:t>31</w:t>
        </w:r>
        <w:r w:rsidRPr="00C51B6E">
          <w:rPr>
            <w:noProof/>
            <w:webHidden/>
          </w:rPr>
          <w:fldChar w:fldCharType="end"/>
        </w:r>
      </w:hyperlink>
    </w:p>
    <w:p w:rsidR="00E43B03" w:rsidRPr="00C51B6E" w:rsidRDefault="001B585D">
      <w:pPr>
        <w:pStyle w:val="Tabledesillustrations"/>
        <w:tabs>
          <w:tab w:val="right" w:leader="dot" w:pos="8493"/>
        </w:tabs>
        <w:rPr>
          <w:rFonts w:asciiTheme="minorHAnsi" w:eastAsiaTheme="minorEastAsia" w:hAnsiTheme="minorHAnsi" w:cstheme="minorBidi"/>
          <w:noProof/>
          <w:color w:val="auto"/>
          <w:sz w:val="22"/>
          <w:szCs w:val="22"/>
        </w:rPr>
      </w:pPr>
      <w:hyperlink w:anchor="_Toc479009479" w:history="1">
        <w:r w:rsidR="00E43B03" w:rsidRPr="00C51B6E">
          <w:rPr>
            <w:rStyle w:val="Lienhypertexte"/>
            <w:noProof/>
          </w:rPr>
          <w:t>Tableau 3: Décès évités des enfants et des mères selon différents scénarii.</w:t>
        </w:r>
        <w:r w:rsidR="00E43B03" w:rsidRPr="00C51B6E">
          <w:rPr>
            <w:noProof/>
            <w:webHidden/>
          </w:rPr>
          <w:tab/>
        </w:r>
        <w:r w:rsidRPr="00C51B6E">
          <w:rPr>
            <w:noProof/>
            <w:webHidden/>
          </w:rPr>
          <w:fldChar w:fldCharType="begin"/>
        </w:r>
        <w:r w:rsidR="00E43B03" w:rsidRPr="00C51B6E">
          <w:rPr>
            <w:noProof/>
            <w:webHidden/>
          </w:rPr>
          <w:instrText xml:space="preserve"> PAGEREF _Toc479009479 \h </w:instrText>
        </w:r>
        <w:r w:rsidRPr="00C51B6E">
          <w:rPr>
            <w:noProof/>
            <w:webHidden/>
          </w:rPr>
        </w:r>
        <w:r w:rsidRPr="00C51B6E">
          <w:rPr>
            <w:noProof/>
            <w:webHidden/>
          </w:rPr>
          <w:fldChar w:fldCharType="separate"/>
        </w:r>
        <w:r w:rsidR="003027C1">
          <w:rPr>
            <w:noProof/>
            <w:webHidden/>
          </w:rPr>
          <w:t>34</w:t>
        </w:r>
        <w:r w:rsidRPr="00C51B6E">
          <w:rPr>
            <w:noProof/>
            <w:webHidden/>
          </w:rPr>
          <w:fldChar w:fldCharType="end"/>
        </w:r>
      </w:hyperlink>
    </w:p>
    <w:p w:rsidR="00191178" w:rsidRPr="00191178" w:rsidRDefault="001B585D" w:rsidP="00191178">
      <w:r w:rsidRPr="00C51B6E">
        <w:fldChar w:fldCharType="end"/>
      </w:r>
    </w:p>
    <w:p w:rsidR="00191178" w:rsidRDefault="00191178" w:rsidP="00A94BEF">
      <w:pPr>
        <w:rPr>
          <w:rFonts w:ascii="Tw Cen MT" w:hAnsi="Tw Cen MT" w:cs="Tw Cen MT"/>
          <w:bCs/>
        </w:rPr>
      </w:pPr>
    </w:p>
    <w:p w:rsidR="00191178" w:rsidRDefault="00191178" w:rsidP="00A94BEF">
      <w:pPr>
        <w:rPr>
          <w:rFonts w:ascii="Tw Cen MT" w:hAnsi="Tw Cen MT" w:cs="Tw Cen MT"/>
          <w:bCs/>
        </w:rPr>
      </w:pPr>
    </w:p>
    <w:p w:rsidR="00191178" w:rsidRDefault="00191178" w:rsidP="00A94BEF">
      <w:pPr>
        <w:rPr>
          <w:rFonts w:ascii="Tw Cen MT" w:hAnsi="Tw Cen MT" w:cs="Tw Cen MT"/>
          <w:bCs/>
        </w:rPr>
      </w:pPr>
    </w:p>
    <w:p w:rsidR="00191178" w:rsidRDefault="00191178">
      <w:pPr>
        <w:rPr>
          <w:rFonts w:ascii="Tw Cen MT" w:hAnsi="Tw Cen MT" w:cs="Tw Cen MT"/>
          <w:bCs/>
        </w:rPr>
      </w:pPr>
      <w:r>
        <w:rPr>
          <w:rFonts w:ascii="Tw Cen MT" w:hAnsi="Tw Cen MT" w:cs="Tw Cen MT"/>
          <w:bCs/>
        </w:rPr>
        <w:br w:type="page"/>
      </w:r>
    </w:p>
    <w:p w:rsidR="008E776A" w:rsidRPr="00EC5D08" w:rsidRDefault="0075188A" w:rsidP="00494A18">
      <w:pPr>
        <w:pStyle w:val="Titre1"/>
        <w:spacing w:before="0" w:after="240"/>
        <w:jc w:val="both"/>
        <w:rPr>
          <w:rFonts w:ascii="Times New Roman" w:hAnsi="Times New Roman" w:cs="Times New Roman"/>
        </w:rPr>
      </w:pPr>
      <w:bookmarkStart w:id="12" w:name="_Toc474777039"/>
      <w:bookmarkStart w:id="13" w:name="_Toc479009909"/>
      <w:r w:rsidRPr="0075188A">
        <w:rPr>
          <w:rFonts w:ascii="Times New Roman" w:hAnsi="Times New Roman" w:cs="Times New Roman"/>
        </w:rPr>
        <w:lastRenderedPageBreak/>
        <w:t>Liste des abréviations</w:t>
      </w:r>
      <w:bookmarkEnd w:id="12"/>
      <w:bookmarkEnd w:id="13"/>
    </w:p>
    <w:p w:rsidR="008E776A" w:rsidRDefault="0075188A" w:rsidP="008E776A">
      <w:pPr>
        <w:jc w:val="both"/>
      </w:pPr>
      <w:r w:rsidRPr="0075188A">
        <w:t>ACMS : Association Camerounaise pour le Marketing Social</w:t>
      </w:r>
    </w:p>
    <w:p w:rsidR="00EC4AD4" w:rsidRPr="002F03FD" w:rsidRDefault="00EC4AD4" w:rsidP="008E776A">
      <w:pPr>
        <w:jc w:val="both"/>
        <w:rPr>
          <w:lang w:val="en-CA"/>
        </w:rPr>
      </w:pPr>
      <w:proofErr w:type="gramStart"/>
      <w:r w:rsidRPr="002F03FD">
        <w:rPr>
          <w:lang w:val="en-CA"/>
        </w:rPr>
        <w:t>AFIDEP :</w:t>
      </w:r>
      <w:proofErr w:type="gramEnd"/>
      <w:r w:rsidRPr="002F03FD">
        <w:rPr>
          <w:lang w:val="en-CA"/>
        </w:rPr>
        <w:t xml:space="preserve"> African Institute for Development Policy</w:t>
      </w:r>
    </w:p>
    <w:p w:rsidR="00A94B37" w:rsidRPr="00EC5D08" w:rsidRDefault="00A94B37" w:rsidP="008E776A">
      <w:pPr>
        <w:jc w:val="both"/>
      </w:pPr>
      <w:r>
        <w:t xml:space="preserve">BTP : Bâtiments et </w:t>
      </w:r>
      <w:r w:rsidR="00043CFD">
        <w:t>Travaux P</w:t>
      </w:r>
      <w:r>
        <w:t>ublics</w:t>
      </w:r>
    </w:p>
    <w:p w:rsidR="00E71C9F" w:rsidRDefault="0075188A">
      <w:pPr>
        <w:spacing w:before="60"/>
        <w:jc w:val="both"/>
      </w:pPr>
      <w:r w:rsidRPr="0075188A">
        <w:t xml:space="preserve">BUCREP : Bureau Central des Recensements  et des </w:t>
      </w:r>
      <w:r w:rsidR="00B36843" w:rsidRPr="0075188A">
        <w:t>Études</w:t>
      </w:r>
      <w:r w:rsidRPr="0075188A">
        <w:t xml:space="preserve"> de Population</w:t>
      </w:r>
    </w:p>
    <w:p w:rsidR="00E71C9F" w:rsidRDefault="0075188A">
      <w:pPr>
        <w:spacing w:before="60"/>
        <w:jc w:val="both"/>
      </w:pPr>
      <w:r w:rsidRPr="0075188A">
        <w:rPr>
          <w:lang w:val="fr-CA"/>
        </w:rPr>
        <w:t xml:space="preserve">CFA : </w:t>
      </w:r>
      <w:r w:rsidRPr="0075188A">
        <w:t>Communauté Financière Africaine</w:t>
      </w:r>
    </w:p>
    <w:p w:rsidR="00E71C9F" w:rsidRDefault="0075188A">
      <w:pPr>
        <w:spacing w:before="60"/>
        <w:jc w:val="both"/>
        <w:rPr>
          <w:lang w:val="fr-CA"/>
        </w:rPr>
      </w:pPr>
      <w:r w:rsidRPr="0075188A">
        <w:rPr>
          <w:lang w:val="fr-CA"/>
        </w:rPr>
        <w:t>Dollar US</w:t>
      </w:r>
      <w:r w:rsidR="00972F1A">
        <w:rPr>
          <w:lang w:val="fr-CA"/>
        </w:rPr>
        <w:t> </w:t>
      </w:r>
      <w:r w:rsidRPr="0075188A">
        <w:rPr>
          <w:lang w:val="fr-CA"/>
        </w:rPr>
        <w:t>: Dollar des États Unis d'Amérique</w:t>
      </w:r>
    </w:p>
    <w:p w:rsidR="00E71C9F" w:rsidRDefault="0075188A" w:rsidP="00043CFD">
      <w:pPr>
        <w:tabs>
          <w:tab w:val="left" w:pos="6000"/>
        </w:tabs>
        <w:spacing w:before="60"/>
        <w:jc w:val="both"/>
        <w:rPr>
          <w:lang w:val="fr-CA"/>
        </w:rPr>
      </w:pPr>
      <w:proofErr w:type="spellStart"/>
      <w:r w:rsidRPr="0075188A">
        <w:rPr>
          <w:lang w:val="fr-CA"/>
        </w:rPr>
        <w:t>Educ</w:t>
      </w:r>
      <w:proofErr w:type="spellEnd"/>
      <w:r w:rsidRPr="0075188A">
        <w:rPr>
          <w:lang w:val="fr-CA"/>
        </w:rPr>
        <w:t xml:space="preserve"> : </w:t>
      </w:r>
      <w:proofErr w:type="spellStart"/>
      <w:r w:rsidRPr="0075188A">
        <w:rPr>
          <w:lang w:val="fr-CA"/>
        </w:rPr>
        <w:t>Education</w:t>
      </w:r>
      <w:proofErr w:type="spellEnd"/>
      <w:r w:rsidR="00043CFD">
        <w:rPr>
          <w:lang w:val="fr-CA"/>
        </w:rPr>
        <w:tab/>
      </w:r>
    </w:p>
    <w:p w:rsidR="00E71C9F" w:rsidRDefault="0075188A">
      <w:pPr>
        <w:spacing w:before="60"/>
        <w:jc w:val="both"/>
        <w:rPr>
          <w:lang w:val="fr-CA"/>
        </w:rPr>
      </w:pPr>
      <w:proofErr w:type="spellStart"/>
      <w:r w:rsidRPr="0075188A">
        <w:rPr>
          <w:lang w:val="fr-CA"/>
        </w:rPr>
        <w:t>Econ</w:t>
      </w:r>
      <w:proofErr w:type="spellEnd"/>
      <w:r w:rsidRPr="0075188A">
        <w:rPr>
          <w:lang w:val="fr-CA"/>
        </w:rPr>
        <w:t> : Économie</w:t>
      </w:r>
    </w:p>
    <w:p w:rsidR="00AB3DB8" w:rsidRDefault="00AB3DB8">
      <w:pPr>
        <w:spacing w:before="60"/>
        <w:jc w:val="both"/>
        <w:rPr>
          <w:lang w:val="fr-CA"/>
        </w:rPr>
      </w:pPr>
      <w:r>
        <w:rPr>
          <w:lang w:val="fr-CA"/>
        </w:rPr>
        <w:t>FNE : Fonds National de l’Emploi</w:t>
      </w:r>
    </w:p>
    <w:p w:rsidR="00E71C9F" w:rsidRDefault="0075188A">
      <w:pPr>
        <w:spacing w:before="60"/>
        <w:jc w:val="both"/>
        <w:rPr>
          <w:lang w:val="fr-CA"/>
        </w:rPr>
      </w:pPr>
      <w:r w:rsidRPr="0075188A">
        <w:rPr>
          <w:lang w:val="fr-CA"/>
        </w:rPr>
        <w:t xml:space="preserve">GIZ : Deutsche </w:t>
      </w:r>
      <w:proofErr w:type="spellStart"/>
      <w:r w:rsidRPr="0075188A">
        <w:rPr>
          <w:lang w:val="fr-CA"/>
        </w:rPr>
        <w:t>Gesellschaft</w:t>
      </w:r>
      <w:proofErr w:type="spellEnd"/>
      <w:r w:rsidRPr="0075188A">
        <w:rPr>
          <w:lang w:val="fr-CA"/>
        </w:rPr>
        <w:t xml:space="preserve"> </w:t>
      </w:r>
      <w:proofErr w:type="spellStart"/>
      <w:r w:rsidRPr="0075188A">
        <w:rPr>
          <w:lang w:val="fr-CA"/>
        </w:rPr>
        <w:t>Fiir</w:t>
      </w:r>
      <w:proofErr w:type="spellEnd"/>
      <w:r w:rsidRPr="0075188A">
        <w:rPr>
          <w:lang w:val="fr-CA"/>
        </w:rPr>
        <w:t xml:space="preserve"> Internationale </w:t>
      </w:r>
      <w:proofErr w:type="spellStart"/>
      <w:r w:rsidRPr="0075188A">
        <w:rPr>
          <w:lang w:val="fr-CA"/>
        </w:rPr>
        <w:t>Zusammenarbeit</w:t>
      </w:r>
      <w:proofErr w:type="spellEnd"/>
    </w:p>
    <w:p w:rsidR="00E71C9F" w:rsidRPr="002F03FD" w:rsidRDefault="0075188A">
      <w:pPr>
        <w:spacing w:before="60"/>
        <w:jc w:val="both"/>
        <w:rPr>
          <w:lang w:val="fr-CA"/>
        </w:rPr>
      </w:pPr>
      <w:r w:rsidRPr="002F03FD">
        <w:rPr>
          <w:lang w:val="fr-CA"/>
        </w:rPr>
        <w:t xml:space="preserve">ICF International : </w:t>
      </w:r>
      <w:proofErr w:type="spellStart"/>
      <w:r w:rsidRPr="002F03FD">
        <w:rPr>
          <w:lang w:val="fr-CA"/>
        </w:rPr>
        <w:t>Inner</w:t>
      </w:r>
      <w:proofErr w:type="spellEnd"/>
      <w:r w:rsidRPr="002F03FD">
        <w:rPr>
          <w:lang w:val="fr-CA"/>
        </w:rPr>
        <w:t xml:space="preserve"> City </w:t>
      </w:r>
      <w:proofErr w:type="spellStart"/>
      <w:r w:rsidRPr="002F03FD">
        <w:rPr>
          <w:lang w:val="fr-CA"/>
        </w:rPr>
        <w:t>Fund</w:t>
      </w:r>
      <w:proofErr w:type="spellEnd"/>
      <w:r w:rsidRPr="002F03FD">
        <w:rPr>
          <w:lang w:val="fr-CA"/>
        </w:rPr>
        <w:t xml:space="preserve"> International</w:t>
      </w:r>
    </w:p>
    <w:p w:rsidR="00E71C9F" w:rsidRDefault="0075188A">
      <w:pPr>
        <w:spacing w:before="60"/>
        <w:jc w:val="both"/>
      </w:pPr>
      <w:r w:rsidRPr="0075188A">
        <w:t>IDH : Indice de Développement Humain</w:t>
      </w:r>
    </w:p>
    <w:p w:rsidR="00E71C9F" w:rsidRDefault="0075188A">
      <w:pPr>
        <w:spacing w:before="60"/>
        <w:jc w:val="both"/>
        <w:rPr>
          <w:bCs/>
        </w:rPr>
      </w:pPr>
      <w:r w:rsidRPr="0075188A">
        <w:rPr>
          <w:bCs/>
        </w:rPr>
        <w:t>IFORD : Institut de Formation et de Recherche Démographiques</w:t>
      </w:r>
    </w:p>
    <w:p w:rsidR="00E71C9F" w:rsidRDefault="0075188A">
      <w:pPr>
        <w:spacing w:before="60"/>
        <w:jc w:val="both"/>
        <w:rPr>
          <w:bCs/>
          <w:lang w:val="en-CA"/>
        </w:rPr>
      </w:pPr>
      <w:proofErr w:type="gramStart"/>
      <w:r w:rsidRPr="0075188A">
        <w:rPr>
          <w:bCs/>
          <w:lang w:val="en-CA"/>
        </w:rPr>
        <w:t>ILO :</w:t>
      </w:r>
      <w:proofErr w:type="gramEnd"/>
      <w:r w:rsidRPr="0075188A">
        <w:rPr>
          <w:bCs/>
          <w:lang w:val="en-CA"/>
        </w:rPr>
        <w:t xml:space="preserve"> International Labor Organisation</w:t>
      </w:r>
    </w:p>
    <w:p w:rsidR="00E71C9F" w:rsidRDefault="0075188A">
      <w:pPr>
        <w:spacing w:before="60"/>
        <w:jc w:val="both"/>
        <w:rPr>
          <w:lang w:val="en-CA"/>
        </w:rPr>
      </w:pPr>
      <w:proofErr w:type="gramStart"/>
      <w:r w:rsidRPr="0075188A">
        <w:rPr>
          <w:lang w:val="en-CA"/>
        </w:rPr>
        <w:t>IMC :</w:t>
      </w:r>
      <w:proofErr w:type="gramEnd"/>
      <w:r w:rsidRPr="0075188A">
        <w:rPr>
          <w:lang w:val="en-CA"/>
        </w:rPr>
        <w:t xml:space="preserve"> Integrated marketing communications</w:t>
      </w:r>
    </w:p>
    <w:p w:rsidR="00E71C9F" w:rsidRDefault="0075188A">
      <w:pPr>
        <w:spacing w:before="60"/>
        <w:jc w:val="both"/>
      </w:pPr>
      <w:r w:rsidRPr="0075188A">
        <w:t>INED : Institut National des Études Démographiques</w:t>
      </w:r>
    </w:p>
    <w:p w:rsidR="00E71C9F" w:rsidRDefault="0075188A">
      <w:pPr>
        <w:spacing w:before="60"/>
        <w:jc w:val="both"/>
      </w:pPr>
      <w:r w:rsidRPr="0075188A">
        <w:t>INS : Institut National de la Statistique</w:t>
      </w:r>
    </w:p>
    <w:p w:rsidR="00E71C9F" w:rsidRDefault="0075188A">
      <w:pPr>
        <w:spacing w:before="60"/>
        <w:jc w:val="both"/>
      </w:pPr>
      <w:r w:rsidRPr="0075188A">
        <w:rPr>
          <w:bCs/>
        </w:rPr>
        <w:t xml:space="preserve">IPP : </w:t>
      </w:r>
      <w:r w:rsidRPr="0075188A">
        <w:t>Insusceptibilité post-partum</w:t>
      </w:r>
    </w:p>
    <w:p w:rsidR="00E71C9F" w:rsidRDefault="0075188A">
      <w:pPr>
        <w:spacing w:before="60"/>
        <w:jc w:val="both"/>
        <w:rPr>
          <w:bCs/>
        </w:rPr>
      </w:pPr>
      <w:r w:rsidRPr="0075188A">
        <w:rPr>
          <w:bCs/>
        </w:rPr>
        <w:t>ISF : Indice synthétique de fécondité</w:t>
      </w:r>
    </w:p>
    <w:p w:rsidR="00E71C9F" w:rsidRDefault="0075188A">
      <w:pPr>
        <w:spacing w:before="60"/>
        <w:jc w:val="both"/>
        <w:rPr>
          <w:bCs/>
        </w:rPr>
      </w:pPr>
      <w:r w:rsidRPr="0075188A">
        <w:rPr>
          <w:bCs/>
        </w:rPr>
        <w:t>MINEPAT : Ministère de l'</w:t>
      </w:r>
      <w:r w:rsidR="00AB3DB8" w:rsidRPr="0075188A">
        <w:rPr>
          <w:bCs/>
        </w:rPr>
        <w:t>Économie</w:t>
      </w:r>
      <w:r w:rsidRPr="0075188A">
        <w:rPr>
          <w:bCs/>
        </w:rPr>
        <w:t>, de la Planification et de l’Aménagement du Territoire</w:t>
      </w:r>
    </w:p>
    <w:p w:rsidR="007E0CBB" w:rsidRDefault="007E0CBB">
      <w:pPr>
        <w:spacing w:before="60"/>
        <w:jc w:val="both"/>
        <w:rPr>
          <w:bCs/>
        </w:rPr>
      </w:pPr>
      <w:r>
        <w:rPr>
          <w:bCs/>
        </w:rPr>
        <w:t>OIT : Organ</w:t>
      </w:r>
      <w:r w:rsidR="00AD49CD">
        <w:rPr>
          <w:bCs/>
        </w:rPr>
        <w:t>i</w:t>
      </w:r>
      <w:r>
        <w:rPr>
          <w:bCs/>
        </w:rPr>
        <w:t>sation Internationale du Travail</w:t>
      </w:r>
    </w:p>
    <w:p w:rsidR="00E71C9F" w:rsidRDefault="0075188A">
      <w:pPr>
        <w:spacing w:before="60"/>
        <w:jc w:val="both"/>
        <w:rPr>
          <w:bCs/>
        </w:rPr>
      </w:pPr>
      <w:r w:rsidRPr="0075188A">
        <w:rPr>
          <w:bCs/>
        </w:rPr>
        <w:t>OMS : Organisation Mondiale de la Santé</w:t>
      </w:r>
    </w:p>
    <w:p w:rsidR="00E71C9F" w:rsidRDefault="0075188A">
      <w:pPr>
        <w:spacing w:before="60"/>
        <w:jc w:val="both"/>
        <w:rPr>
          <w:lang w:val="en-CA"/>
        </w:rPr>
      </w:pPr>
      <w:r w:rsidRPr="0075188A">
        <w:rPr>
          <w:lang w:val="en-CA"/>
        </w:rPr>
        <w:t xml:space="preserve">ORC </w:t>
      </w:r>
      <w:proofErr w:type="gramStart"/>
      <w:r w:rsidRPr="0075188A">
        <w:rPr>
          <w:lang w:val="en-CA"/>
        </w:rPr>
        <w:t>Macro</w:t>
      </w:r>
      <w:r w:rsidR="00972F1A">
        <w:rPr>
          <w:lang w:val="en-CA"/>
        </w:rPr>
        <w:t> </w:t>
      </w:r>
      <w:r w:rsidRPr="0075188A">
        <w:rPr>
          <w:lang w:val="en-CA"/>
        </w:rPr>
        <w:t>:</w:t>
      </w:r>
      <w:proofErr w:type="gramEnd"/>
      <w:r w:rsidRPr="0075188A">
        <w:rPr>
          <w:lang w:val="en-CA"/>
        </w:rPr>
        <w:t xml:space="preserve"> Opinion Research Corporation Macro</w:t>
      </w:r>
    </w:p>
    <w:p w:rsidR="00E71C9F" w:rsidRPr="002F03FD" w:rsidRDefault="0075188A">
      <w:pPr>
        <w:spacing w:before="60"/>
        <w:jc w:val="both"/>
        <w:rPr>
          <w:lang w:val="fr-CA"/>
        </w:rPr>
      </w:pPr>
      <w:r w:rsidRPr="002F03FD">
        <w:rPr>
          <w:lang w:val="fr-CA"/>
        </w:rPr>
        <w:t>PASAR : Projet d’Appui à la Santé de la Reproduction</w:t>
      </w:r>
    </w:p>
    <w:p w:rsidR="00E71C9F" w:rsidRPr="002F03FD" w:rsidRDefault="0075188A">
      <w:pPr>
        <w:spacing w:before="60"/>
        <w:jc w:val="both"/>
        <w:rPr>
          <w:lang w:val="fr-CA"/>
        </w:rPr>
      </w:pPr>
      <w:r w:rsidRPr="002F03FD">
        <w:rPr>
          <w:lang w:val="fr-CA"/>
        </w:rPr>
        <w:t>PF</w:t>
      </w:r>
      <w:r w:rsidR="00972F1A" w:rsidRPr="002F03FD">
        <w:rPr>
          <w:lang w:val="fr-CA"/>
        </w:rPr>
        <w:t> </w:t>
      </w:r>
      <w:r w:rsidRPr="002F03FD">
        <w:rPr>
          <w:lang w:val="fr-CA"/>
        </w:rPr>
        <w:t xml:space="preserve">: </w:t>
      </w:r>
      <w:r w:rsidRPr="0075188A">
        <w:t>Planification</w:t>
      </w:r>
      <w:r w:rsidR="00AD49CD">
        <w:t xml:space="preserve"> </w:t>
      </w:r>
      <w:r w:rsidRPr="0075188A">
        <w:t>familiale</w:t>
      </w:r>
    </w:p>
    <w:p w:rsidR="00E71C9F" w:rsidRDefault="0075188A">
      <w:pPr>
        <w:spacing w:before="60"/>
        <w:jc w:val="both"/>
        <w:rPr>
          <w:bCs/>
        </w:rPr>
      </w:pPr>
      <w:r w:rsidRPr="0075188A">
        <w:rPr>
          <w:bCs/>
        </w:rPr>
        <w:t>PIB : Produit intérieur brut</w:t>
      </w:r>
    </w:p>
    <w:p w:rsidR="00E71C9F" w:rsidRDefault="0075188A">
      <w:pPr>
        <w:spacing w:before="60"/>
        <w:jc w:val="both"/>
        <w:rPr>
          <w:bCs/>
        </w:rPr>
      </w:pPr>
      <w:r w:rsidRPr="0075188A">
        <w:rPr>
          <w:bCs/>
        </w:rPr>
        <w:t>PNDS : Plan National de Développement Sanitaire</w:t>
      </w:r>
    </w:p>
    <w:p w:rsidR="007E0CBB" w:rsidRDefault="007E0CBB">
      <w:pPr>
        <w:spacing w:before="60"/>
        <w:jc w:val="both"/>
        <w:rPr>
          <w:bCs/>
        </w:rPr>
      </w:pPr>
      <w:r>
        <w:rPr>
          <w:bCs/>
        </w:rPr>
        <w:t xml:space="preserve">PRB : Population </w:t>
      </w:r>
      <w:proofErr w:type="spellStart"/>
      <w:r>
        <w:rPr>
          <w:bCs/>
        </w:rPr>
        <w:t>Reference</w:t>
      </w:r>
      <w:proofErr w:type="spellEnd"/>
      <w:r>
        <w:rPr>
          <w:bCs/>
        </w:rPr>
        <w:t xml:space="preserve"> Bureau</w:t>
      </w:r>
    </w:p>
    <w:p w:rsidR="00E71C9F" w:rsidRDefault="0075188A">
      <w:pPr>
        <w:spacing w:before="60"/>
        <w:jc w:val="both"/>
      </w:pPr>
      <w:r w:rsidRPr="0075188A">
        <w:t>RGPH : Recensement général de la population et de l’habitat</w:t>
      </w:r>
    </w:p>
    <w:p w:rsidR="00E71C9F" w:rsidRDefault="0075188A">
      <w:pPr>
        <w:tabs>
          <w:tab w:val="left" w:pos="1861"/>
        </w:tabs>
        <w:spacing w:before="60"/>
        <w:jc w:val="both"/>
      </w:pPr>
      <w:r w:rsidRPr="0075188A">
        <w:t>SRMNI : Stratégie de Réduction de la Mortalité Maternelle, Néonatale et Infanto-juvénile</w:t>
      </w:r>
    </w:p>
    <w:p w:rsidR="00E71C9F" w:rsidRDefault="0075188A">
      <w:pPr>
        <w:spacing w:before="60"/>
        <w:jc w:val="both"/>
      </w:pPr>
      <w:r w:rsidRPr="0075188A">
        <w:t>TIC : Technologies d</w:t>
      </w:r>
      <w:r w:rsidR="00972F1A">
        <w:t>e l’I</w:t>
      </w:r>
      <w:r w:rsidRPr="0075188A">
        <w:t xml:space="preserve">nformation et de </w:t>
      </w:r>
      <w:r w:rsidR="00972F1A">
        <w:t>la C</w:t>
      </w:r>
      <w:r w:rsidRPr="0075188A">
        <w:t>ommunication</w:t>
      </w:r>
    </w:p>
    <w:p w:rsidR="00E71C9F" w:rsidRDefault="0075188A">
      <w:pPr>
        <w:spacing w:before="60"/>
        <w:jc w:val="both"/>
        <w:rPr>
          <w:bCs/>
        </w:rPr>
      </w:pPr>
      <w:r w:rsidRPr="0075188A">
        <w:rPr>
          <w:bCs/>
        </w:rPr>
        <w:t>TPC : Taux de prévalence contraceptive</w:t>
      </w:r>
    </w:p>
    <w:p w:rsidR="00E71C9F" w:rsidRDefault="0075188A">
      <w:pPr>
        <w:spacing w:before="60"/>
        <w:jc w:val="both"/>
        <w:rPr>
          <w:bCs/>
        </w:rPr>
      </w:pPr>
      <w:r w:rsidRPr="0075188A">
        <w:rPr>
          <w:bCs/>
        </w:rPr>
        <w:t>UNESCO : Organisation des Nations Unies pour la Science et la Culture</w:t>
      </w:r>
    </w:p>
    <w:p w:rsidR="00E71C9F" w:rsidRDefault="0075188A">
      <w:pPr>
        <w:spacing w:before="60"/>
        <w:jc w:val="both"/>
        <w:rPr>
          <w:bCs/>
        </w:rPr>
      </w:pPr>
      <w:r w:rsidRPr="0075188A">
        <w:rPr>
          <w:bCs/>
        </w:rPr>
        <w:t>UNFPA : Fonds des Nations Unies pour la Population</w:t>
      </w:r>
    </w:p>
    <w:p w:rsidR="00E71C9F" w:rsidRDefault="0075188A">
      <w:pPr>
        <w:spacing w:before="60"/>
        <w:jc w:val="both"/>
        <w:rPr>
          <w:lang w:val="fr-CA"/>
        </w:rPr>
      </w:pPr>
      <w:r w:rsidRPr="0075188A">
        <w:rPr>
          <w:lang w:val="fr-CA"/>
        </w:rPr>
        <w:t xml:space="preserve">UNICEF : United Nations </w:t>
      </w:r>
      <w:proofErr w:type="spellStart"/>
      <w:r w:rsidRPr="0075188A">
        <w:rPr>
          <w:lang w:val="fr-CA"/>
        </w:rPr>
        <w:t>Children’s</w:t>
      </w:r>
      <w:proofErr w:type="spellEnd"/>
      <w:r w:rsidRPr="0075188A">
        <w:rPr>
          <w:lang w:val="fr-CA"/>
        </w:rPr>
        <w:t xml:space="preserve"> </w:t>
      </w:r>
      <w:proofErr w:type="spellStart"/>
      <w:r w:rsidRPr="0075188A">
        <w:rPr>
          <w:lang w:val="fr-CA"/>
        </w:rPr>
        <w:t>Fund</w:t>
      </w:r>
      <w:proofErr w:type="spellEnd"/>
    </w:p>
    <w:p w:rsidR="00E71C9F" w:rsidRDefault="0075188A">
      <w:pPr>
        <w:spacing w:before="60"/>
        <w:jc w:val="both"/>
        <w:rPr>
          <w:lang w:val="fr-CA"/>
        </w:rPr>
      </w:pPr>
      <w:r w:rsidRPr="0075188A">
        <w:rPr>
          <w:lang w:val="fr-CA"/>
        </w:rPr>
        <w:t>VIH : Virus de l’Immunodéficience Humaine</w:t>
      </w:r>
    </w:p>
    <w:p w:rsidR="00E71C9F" w:rsidRDefault="0075188A">
      <w:pPr>
        <w:spacing w:before="60"/>
        <w:jc w:val="both"/>
        <w:rPr>
          <w:bCs/>
        </w:rPr>
      </w:pPr>
      <w:r w:rsidRPr="0075188A">
        <w:rPr>
          <w:bCs/>
        </w:rPr>
        <w:t>WCARO : Bureau régional pour l’Afrique de l’Ouest et du Centre de l’UNFPA</w:t>
      </w:r>
    </w:p>
    <w:p w:rsidR="00E71C9F" w:rsidRPr="002F03FD" w:rsidRDefault="0075188A">
      <w:pPr>
        <w:spacing w:before="60"/>
        <w:jc w:val="both"/>
        <w:rPr>
          <w:lang w:val="fr-CA"/>
        </w:rPr>
      </w:pPr>
      <w:r w:rsidRPr="002F03FD">
        <w:rPr>
          <w:lang w:val="fr-CA"/>
        </w:rPr>
        <w:t xml:space="preserve">WHO : World </w:t>
      </w:r>
      <w:proofErr w:type="spellStart"/>
      <w:r w:rsidRPr="002F03FD">
        <w:rPr>
          <w:lang w:val="fr-CA"/>
        </w:rPr>
        <w:t>Health</w:t>
      </w:r>
      <w:proofErr w:type="spellEnd"/>
      <w:r w:rsidRPr="002F03FD">
        <w:rPr>
          <w:lang w:val="fr-CA"/>
        </w:rPr>
        <w:t xml:space="preserve"> </w:t>
      </w:r>
      <w:proofErr w:type="spellStart"/>
      <w:r w:rsidRPr="002F03FD">
        <w:rPr>
          <w:lang w:val="fr-CA"/>
        </w:rPr>
        <w:t>Organization</w:t>
      </w:r>
      <w:proofErr w:type="spellEnd"/>
    </w:p>
    <w:p w:rsidR="008E776A" w:rsidRPr="002F03FD" w:rsidRDefault="008E776A" w:rsidP="008E776A">
      <w:pPr>
        <w:rPr>
          <w:bCs/>
          <w:sz w:val="26"/>
          <w:szCs w:val="26"/>
          <w:lang w:val="fr-CA"/>
        </w:rPr>
      </w:pPr>
    </w:p>
    <w:p w:rsidR="00E71C9F" w:rsidRPr="002F03FD" w:rsidRDefault="0075188A">
      <w:pPr>
        <w:pStyle w:val="Titre1"/>
        <w:spacing w:before="0" w:after="0"/>
        <w:jc w:val="left"/>
        <w:rPr>
          <w:rFonts w:ascii="Times New Roman" w:hAnsi="Times New Roman" w:cs="Times New Roman"/>
          <w:bCs w:val="0"/>
          <w:sz w:val="26"/>
          <w:szCs w:val="26"/>
          <w:lang w:val="fr-CA"/>
        </w:rPr>
      </w:pPr>
      <w:bookmarkStart w:id="14" w:name="_Toc479009910"/>
      <w:r w:rsidRPr="002F03FD">
        <w:rPr>
          <w:rFonts w:ascii="Times New Roman" w:hAnsi="Times New Roman" w:cs="Times New Roman"/>
          <w:bCs w:val="0"/>
          <w:smallCaps w:val="0"/>
          <w:sz w:val="26"/>
          <w:szCs w:val="26"/>
          <w:lang w:val="fr-CA"/>
        </w:rPr>
        <w:t>I</w:t>
      </w:r>
      <w:r w:rsidR="000B5D5F" w:rsidRPr="002F03FD">
        <w:rPr>
          <w:rFonts w:ascii="Times New Roman" w:hAnsi="Times New Roman" w:cs="Times New Roman"/>
          <w:bCs w:val="0"/>
          <w:smallCaps w:val="0"/>
          <w:sz w:val="26"/>
          <w:szCs w:val="26"/>
          <w:lang w:val="fr-CA"/>
        </w:rPr>
        <w:t>NTRODUCTION</w:t>
      </w:r>
      <w:bookmarkEnd w:id="14"/>
    </w:p>
    <w:p w:rsidR="00A703E6" w:rsidRDefault="00EC5D08">
      <w:pPr>
        <w:spacing w:before="240" w:line="276" w:lineRule="auto"/>
        <w:jc w:val="both"/>
        <w:rPr>
          <w:bCs/>
        </w:rPr>
      </w:pPr>
      <w:r w:rsidRPr="002B6037">
        <w:rPr>
          <w:bCs/>
        </w:rPr>
        <w:t xml:space="preserve">La plupart des pays d'Afrique subsaharienne </w:t>
      </w:r>
      <w:r w:rsidR="00E35E2B" w:rsidRPr="002B6037">
        <w:rPr>
          <w:bCs/>
        </w:rPr>
        <w:t xml:space="preserve">en général </w:t>
      </w:r>
      <w:r w:rsidRPr="002B6037">
        <w:rPr>
          <w:bCs/>
        </w:rPr>
        <w:t xml:space="preserve">et le Cameroun en particulier connaissent depuis la </w:t>
      </w:r>
      <w:r w:rsidR="00DF6F69" w:rsidRPr="002B6037">
        <w:rPr>
          <w:bCs/>
        </w:rPr>
        <w:t xml:space="preserve">fin </w:t>
      </w:r>
      <w:r w:rsidR="00566654" w:rsidRPr="002B6037">
        <w:rPr>
          <w:bCs/>
        </w:rPr>
        <w:t xml:space="preserve">de la </w:t>
      </w:r>
      <w:r w:rsidR="00C51B6E" w:rsidRPr="002B6037">
        <w:rPr>
          <w:bCs/>
        </w:rPr>
        <w:t>deuxième moitié du XX</w:t>
      </w:r>
      <w:r w:rsidR="0075188A" w:rsidRPr="002B6037">
        <w:rPr>
          <w:bCs/>
          <w:vertAlign w:val="superscript"/>
        </w:rPr>
        <w:t>ème</w:t>
      </w:r>
      <w:r w:rsidRPr="002B6037">
        <w:rPr>
          <w:bCs/>
        </w:rPr>
        <w:t xml:space="preserve"> siècle un début de transition démographique qui se traduit par une baisse importante de la mortalité et une relative baisse continuelle de la fécondité, entraînant ainsi un début de changement de la structure de la population. </w:t>
      </w:r>
      <w:r w:rsidR="00975319" w:rsidRPr="002B6037">
        <w:t>C'</w:t>
      </w:r>
      <w:r w:rsidR="00DF6F69" w:rsidRPr="002B6037">
        <w:t>est un moment critique du développement des opportunités pour</w:t>
      </w:r>
      <w:r w:rsidR="00BD7EF8" w:rsidRPr="002B6037">
        <w:t xml:space="preserve"> </w:t>
      </w:r>
      <w:r w:rsidR="00DF6F69" w:rsidRPr="002B6037">
        <w:t xml:space="preserve">les familles et </w:t>
      </w:r>
      <w:r w:rsidR="00975319" w:rsidRPr="002B6037">
        <w:t xml:space="preserve">pour </w:t>
      </w:r>
      <w:r w:rsidR="00DF6F69" w:rsidRPr="002B6037">
        <w:t>les pays.</w:t>
      </w:r>
    </w:p>
    <w:p w:rsidR="00A703E6" w:rsidRDefault="00975319">
      <w:pPr>
        <w:spacing w:before="120" w:line="276" w:lineRule="auto"/>
        <w:jc w:val="both"/>
        <w:rPr>
          <w:bCs/>
        </w:rPr>
      </w:pPr>
      <w:r>
        <w:rPr>
          <w:bCs/>
        </w:rPr>
        <w:t>En effet,</w:t>
      </w:r>
      <w:r w:rsidR="00EC5D08">
        <w:rPr>
          <w:bCs/>
        </w:rPr>
        <w:t xml:space="preserve"> lorsqu'une partie importante de la population est en âge de travailler et d'épargner</w:t>
      </w:r>
      <w:r w:rsidR="003E72EB">
        <w:rPr>
          <w:bCs/>
        </w:rPr>
        <w:t>,</w:t>
      </w:r>
      <w:r w:rsidR="00EC5D08">
        <w:rPr>
          <w:bCs/>
        </w:rPr>
        <w:t xml:space="preserve"> le pays peut bénéficier d'une accélération de la croissance des revenus découlant d'une population plus importante, de l'accumulation accélérée du capital et de</w:t>
      </w:r>
      <w:r w:rsidR="00566654">
        <w:rPr>
          <w:bCs/>
        </w:rPr>
        <w:t>s</w:t>
      </w:r>
      <w:r w:rsidR="00EC5D08">
        <w:rPr>
          <w:bCs/>
        </w:rPr>
        <w:t xml:space="preserve"> dépenses réduites pour la population dépendante. Ce processus est connu sous le nom de "</w:t>
      </w:r>
      <w:r w:rsidR="00116899" w:rsidRPr="00116899">
        <w:rPr>
          <w:bCs/>
        </w:rPr>
        <w:t>bonus démographique</w:t>
      </w:r>
      <w:r w:rsidR="00EC5D08">
        <w:rPr>
          <w:bCs/>
        </w:rPr>
        <w:t>". L'effet combiné de ce "bonus démographique" et de politiques sectorielles efficaces peut stimuler la croissance économique. Les "gains économiques résultant de la transition démographique" ou "</w:t>
      </w:r>
      <w:r w:rsidR="00116899" w:rsidRPr="00116899">
        <w:rPr>
          <w:bCs/>
        </w:rPr>
        <w:t>dividende économique</w:t>
      </w:r>
      <w:r w:rsidR="00EC5D08">
        <w:rPr>
          <w:bCs/>
        </w:rPr>
        <w:t xml:space="preserve">" permettent aujourd'hui de décrire l'accélération de la croissance économique de certains pays </w:t>
      </w:r>
      <w:r w:rsidR="008B587D">
        <w:rPr>
          <w:bCs/>
        </w:rPr>
        <w:t xml:space="preserve">émergents </w:t>
      </w:r>
      <w:r w:rsidR="00EC5D08">
        <w:rPr>
          <w:bCs/>
        </w:rPr>
        <w:t xml:space="preserve">d'Amérique Latine </w:t>
      </w:r>
      <w:r w:rsidR="008B587D">
        <w:rPr>
          <w:bCs/>
        </w:rPr>
        <w:t>ou</w:t>
      </w:r>
      <w:r w:rsidR="00EC5D08">
        <w:rPr>
          <w:bCs/>
        </w:rPr>
        <w:t xml:space="preserve"> d'Asie (</w:t>
      </w:r>
      <w:r w:rsidR="00EC2E68">
        <w:rPr>
          <w:bCs/>
        </w:rPr>
        <w:t>Brésil, Hong Kong, Inde, etc.</w:t>
      </w:r>
      <w:r w:rsidR="00EC5D08">
        <w:rPr>
          <w:bCs/>
        </w:rPr>
        <w:t xml:space="preserve">). </w:t>
      </w:r>
      <w:r w:rsidR="00D24D6D" w:rsidRPr="00EC2E68">
        <w:rPr>
          <w:bCs/>
        </w:rPr>
        <w:t xml:space="preserve">La </w:t>
      </w:r>
      <w:r w:rsidR="00116899" w:rsidRPr="00116899">
        <w:rPr>
          <w:bCs/>
        </w:rPr>
        <w:t>transition démographique</w:t>
      </w:r>
      <w:r w:rsidR="00BD7EF8">
        <w:rPr>
          <w:bCs/>
        </w:rPr>
        <w:t xml:space="preserve"> </w:t>
      </w:r>
      <w:r w:rsidR="008D2955">
        <w:rPr>
          <w:bCs/>
        </w:rPr>
        <w:t>quant à elle se définit</w:t>
      </w:r>
      <w:r w:rsidR="001C6510">
        <w:rPr>
          <w:bCs/>
        </w:rPr>
        <w:t xml:space="preserve"> comme étant</w:t>
      </w:r>
      <w:r w:rsidR="00BD7EF8">
        <w:rPr>
          <w:bCs/>
        </w:rPr>
        <w:t xml:space="preserve"> </w:t>
      </w:r>
      <w:r w:rsidR="008D2955">
        <w:t xml:space="preserve">le processus </w:t>
      </w:r>
      <w:r w:rsidR="001C6510">
        <w:t xml:space="preserve">par lequel </w:t>
      </w:r>
      <w:r w:rsidR="008D2955">
        <w:t xml:space="preserve">la mortalité et la </w:t>
      </w:r>
      <w:r w:rsidR="00534DD4">
        <w:t>fécondité</w:t>
      </w:r>
      <w:r w:rsidR="008D2955">
        <w:t xml:space="preserve"> passent</w:t>
      </w:r>
      <w:r w:rsidR="00BD7EF8">
        <w:t xml:space="preserve"> </w:t>
      </w:r>
      <w:r w:rsidR="008D2955">
        <w:t>d</w:t>
      </w:r>
      <w:r w:rsidR="008D2955" w:rsidRPr="005D4986">
        <w:t>es taux d’un niveau élevé à</w:t>
      </w:r>
      <w:r w:rsidR="00BD7EF8">
        <w:t xml:space="preserve"> </w:t>
      </w:r>
      <w:r w:rsidR="00101244">
        <w:t xml:space="preserve">un niveau faible. Dans ce processus, et à l'observation des pays ayant déjà accompli leur transition démographique, la baisse de la mortalité précède </w:t>
      </w:r>
      <w:r w:rsidR="00E76D8E">
        <w:t xml:space="preserve">le plus souvent </w:t>
      </w:r>
      <w:r w:rsidR="00101244">
        <w:t xml:space="preserve">celle de la </w:t>
      </w:r>
      <w:r w:rsidR="00534DD4">
        <w:t>fécondité</w:t>
      </w:r>
      <w:r w:rsidR="00101244">
        <w:t>.</w:t>
      </w:r>
      <w:r w:rsidR="00BD7EF8">
        <w:t xml:space="preserve"> </w:t>
      </w:r>
      <w:r w:rsidR="00EC5D08">
        <w:rPr>
          <w:bCs/>
        </w:rPr>
        <w:t xml:space="preserve">Qu'en est-il </w:t>
      </w:r>
      <w:r w:rsidR="001C6510">
        <w:rPr>
          <w:bCs/>
        </w:rPr>
        <w:t>du</w:t>
      </w:r>
      <w:r w:rsidR="00EC5D08">
        <w:rPr>
          <w:bCs/>
        </w:rPr>
        <w:t xml:space="preserve"> Cameroun</w:t>
      </w:r>
      <w:r w:rsidR="001C6510">
        <w:rPr>
          <w:bCs/>
        </w:rPr>
        <w:t> </w:t>
      </w:r>
      <w:r w:rsidR="00EC5D08">
        <w:rPr>
          <w:bCs/>
        </w:rPr>
        <w:t>?</w:t>
      </w:r>
    </w:p>
    <w:p w:rsidR="00A703E6" w:rsidRDefault="00EC5D08" w:rsidP="00B94EEF">
      <w:pPr>
        <w:spacing w:before="120" w:line="276" w:lineRule="auto"/>
        <w:jc w:val="both"/>
        <w:rPr>
          <w:bCs/>
        </w:rPr>
      </w:pPr>
      <w:r>
        <w:rPr>
          <w:bCs/>
        </w:rPr>
        <w:t xml:space="preserve">Pour répondre à cette question et à la suite de l'étude </w:t>
      </w:r>
      <w:r w:rsidR="00DF6F69">
        <w:rPr>
          <w:bCs/>
        </w:rPr>
        <w:t xml:space="preserve">qu'il a </w:t>
      </w:r>
      <w:r>
        <w:rPr>
          <w:bCs/>
        </w:rPr>
        <w:t>menée en 2012 sur les conditions de bénéfice du dividende démographique, le Ministère de l'</w:t>
      </w:r>
      <w:r w:rsidR="00AB3DB8">
        <w:rPr>
          <w:bCs/>
        </w:rPr>
        <w:t>Économie</w:t>
      </w:r>
      <w:r>
        <w:rPr>
          <w:bCs/>
        </w:rPr>
        <w:t>, de la Planification et de l'Aménagement du Territoire (MI</w:t>
      </w:r>
      <w:r w:rsidR="00566654">
        <w:rPr>
          <w:bCs/>
        </w:rPr>
        <w:t>NEPAT), en partenariat avec le F</w:t>
      </w:r>
      <w:r>
        <w:rPr>
          <w:bCs/>
        </w:rPr>
        <w:t>onds des Nations Unies pour la Population (UNFPA), a opté pour une modélisation</w:t>
      </w:r>
      <w:r w:rsidR="00566654">
        <w:rPr>
          <w:bCs/>
        </w:rPr>
        <w:t>,</w:t>
      </w:r>
      <w:r>
        <w:rPr>
          <w:bCs/>
        </w:rPr>
        <w:t xml:space="preserve"> à l'aide du modèle DemDiv</w:t>
      </w:r>
      <w:r w:rsidR="00566654">
        <w:rPr>
          <w:bCs/>
        </w:rPr>
        <w:t>,</w:t>
      </w:r>
      <w:r>
        <w:rPr>
          <w:bCs/>
        </w:rPr>
        <w:t xml:space="preserve"> pour aider le Gouvernement à s'approprier l'approche "dividende démographique" en vue de l'accélération de la croissance économique du pays. Il a bénéficié pour ce faire de l'appui technique de l'Institut de Formation et de Recherche Démographiques (IFORD) pour conduire l'étude sur la "modélisation du dividende démographique au Cameroun". Cette modélisation se fonde sur l'hypothèse déjà vérifiée par des études antérieures que les changements de la structure de la population produisent un dividende à</w:t>
      </w:r>
      <w:r w:rsidR="003E72EB">
        <w:rPr>
          <w:bCs/>
        </w:rPr>
        <w:t xml:space="preserve"> travers quatre méga-variables q</w:t>
      </w:r>
      <w:r>
        <w:rPr>
          <w:bCs/>
        </w:rPr>
        <w:t>ue sont l'économie, l'éducation, la santé et la gouvernance</w:t>
      </w:r>
      <w:r w:rsidR="00566654">
        <w:rPr>
          <w:bCs/>
        </w:rPr>
        <w:t xml:space="preserve"> (PRB, 2012</w:t>
      </w:r>
      <w:r w:rsidR="00EC2E68">
        <w:rPr>
          <w:bCs/>
        </w:rPr>
        <w:t xml:space="preserve"> ; </w:t>
      </w:r>
      <w:r w:rsidR="003E72EB">
        <w:rPr>
          <w:bCs/>
        </w:rPr>
        <w:t>Guengant, 2014</w:t>
      </w:r>
      <w:r w:rsidR="00566654">
        <w:rPr>
          <w:bCs/>
        </w:rPr>
        <w:t>)</w:t>
      </w:r>
      <w:r>
        <w:rPr>
          <w:bCs/>
        </w:rPr>
        <w:t>.</w:t>
      </w:r>
    </w:p>
    <w:p w:rsidR="00C51B6E" w:rsidRDefault="00BF799A" w:rsidP="00B94EEF">
      <w:pPr>
        <w:spacing w:before="240" w:line="276" w:lineRule="auto"/>
        <w:jc w:val="both"/>
        <w:rPr>
          <w:bCs/>
        </w:rPr>
      </w:pPr>
      <w:r>
        <w:rPr>
          <w:bCs/>
        </w:rPr>
        <w:t xml:space="preserve">Le présent rapport s'articule </w:t>
      </w:r>
      <w:r w:rsidR="00EC2E68">
        <w:rPr>
          <w:bCs/>
        </w:rPr>
        <w:t>autour des cinq points ci-après </w:t>
      </w:r>
      <w:r>
        <w:rPr>
          <w:bCs/>
        </w:rPr>
        <w:t>: (1) le contexte</w:t>
      </w:r>
      <w:r w:rsidR="00EC2E68">
        <w:rPr>
          <w:bCs/>
        </w:rPr>
        <w:t xml:space="preserve"> et la justification de l'étude </w:t>
      </w:r>
      <w:r>
        <w:rPr>
          <w:bCs/>
        </w:rPr>
        <w:t>; (2) les objectifs d</w:t>
      </w:r>
      <w:r w:rsidR="00EC2E68">
        <w:rPr>
          <w:bCs/>
        </w:rPr>
        <w:t>e l'étude </w:t>
      </w:r>
      <w:r>
        <w:rPr>
          <w:bCs/>
        </w:rPr>
        <w:t xml:space="preserve">; (3) la </w:t>
      </w:r>
      <w:r w:rsidR="00EC2E68">
        <w:rPr>
          <w:bCs/>
        </w:rPr>
        <w:t>méthodologie de la modélisation </w:t>
      </w:r>
      <w:r w:rsidR="00E75718">
        <w:rPr>
          <w:bCs/>
        </w:rPr>
        <w:t>; (4) l'analyse de situation et hypothèses</w:t>
      </w:r>
      <w:r w:rsidR="001C6510">
        <w:rPr>
          <w:bCs/>
        </w:rPr>
        <w:t> </w:t>
      </w:r>
      <w:r w:rsidR="00E75718">
        <w:rPr>
          <w:bCs/>
        </w:rPr>
        <w:t>; et (6) l'analyse des résultats</w:t>
      </w:r>
      <w:r>
        <w:rPr>
          <w:bCs/>
        </w:rPr>
        <w:t>.</w:t>
      </w:r>
      <w:r w:rsidR="00C51B6E">
        <w:rPr>
          <w:bCs/>
        </w:rPr>
        <w:br w:type="page"/>
      </w:r>
    </w:p>
    <w:p w:rsidR="00E71C9F" w:rsidRDefault="0075188A" w:rsidP="00B36843">
      <w:pPr>
        <w:pStyle w:val="Titre1"/>
        <w:numPr>
          <w:ilvl w:val="0"/>
          <w:numId w:val="74"/>
        </w:numPr>
        <w:spacing w:before="240" w:after="0"/>
        <w:ind w:left="714" w:hanging="357"/>
        <w:jc w:val="both"/>
        <w:rPr>
          <w:rFonts w:ascii="Times New Roman" w:hAnsi="Times New Roman" w:cs="Times New Roman"/>
          <w:lang w:val="en-CA"/>
        </w:rPr>
      </w:pPr>
      <w:bookmarkStart w:id="15" w:name="_Toc474777040"/>
      <w:bookmarkStart w:id="16" w:name="_Toc479009911"/>
      <w:r w:rsidRPr="00494A18">
        <w:rPr>
          <w:rFonts w:ascii="Times New Roman" w:hAnsi="Times New Roman" w:cs="Times New Roman"/>
        </w:rPr>
        <w:lastRenderedPageBreak/>
        <w:t>Contexte</w:t>
      </w:r>
      <w:r w:rsidRPr="0075188A">
        <w:rPr>
          <w:rFonts w:ascii="Times New Roman" w:hAnsi="Times New Roman" w:cs="Times New Roman"/>
          <w:lang w:val="en-CA"/>
        </w:rPr>
        <w:t xml:space="preserve"> et justification</w:t>
      </w:r>
      <w:bookmarkEnd w:id="15"/>
      <w:bookmarkEnd w:id="16"/>
    </w:p>
    <w:p w:rsidR="008E776A" w:rsidRDefault="0075188A" w:rsidP="00B36843">
      <w:pPr>
        <w:autoSpaceDE w:val="0"/>
        <w:autoSpaceDN w:val="0"/>
        <w:adjustRightInd w:val="0"/>
        <w:spacing w:before="240" w:line="276" w:lineRule="auto"/>
        <w:jc w:val="both"/>
        <w:rPr>
          <w:rFonts w:ascii="Tw Cen MT" w:hAnsi="Tw Cen MT" w:cs="Tw Cen MT"/>
        </w:rPr>
      </w:pPr>
      <w:r w:rsidRPr="0075188A">
        <w:rPr>
          <w:lang w:val="fr-CA"/>
        </w:rPr>
        <w:t xml:space="preserve">Lorsque </w:t>
      </w:r>
      <w:r w:rsidR="00E76D8E">
        <w:rPr>
          <w:lang w:val="fr-CA"/>
        </w:rPr>
        <w:t xml:space="preserve">la mortalité a suffisamment chuté et que </w:t>
      </w:r>
      <w:r w:rsidRPr="0075188A">
        <w:rPr>
          <w:lang w:val="fr-CA"/>
        </w:rPr>
        <w:t xml:space="preserve">la fécondité commence </w:t>
      </w:r>
      <w:r w:rsidR="00E76D8E">
        <w:rPr>
          <w:lang w:val="fr-CA"/>
        </w:rPr>
        <w:t xml:space="preserve">aussi </w:t>
      </w:r>
      <w:r w:rsidRPr="0075188A">
        <w:rPr>
          <w:lang w:val="fr-CA"/>
        </w:rPr>
        <w:t xml:space="preserve">à baisser, le nombre de naissances croît moins vite, se stabilise ou décroît, toutefois la population active continue d’augmenter. </w:t>
      </w:r>
      <w:r w:rsidR="00E35E2B">
        <w:rPr>
          <w:lang w:val="fr-CA"/>
        </w:rPr>
        <w:t>Cette augmentation de</w:t>
      </w:r>
      <w:r w:rsidRPr="0075188A">
        <w:rPr>
          <w:lang w:val="fr-CA"/>
        </w:rPr>
        <w:t xml:space="preserve"> la proportion de travailleurs a des effets s</w:t>
      </w:r>
      <w:r w:rsidR="00E35E2B">
        <w:rPr>
          <w:lang w:val="fr-CA"/>
        </w:rPr>
        <w:t xml:space="preserve">ur la croissance économique, et cela </w:t>
      </w:r>
      <w:r w:rsidRPr="0075188A">
        <w:rPr>
          <w:lang w:val="fr-CA"/>
        </w:rPr>
        <w:t xml:space="preserve">constitue </w:t>
      </w:r>
      <w:r w:rsidR="00E35E2B">
        <w:rPr>
          <w:lang w:val="fr-CA"/>
        </w:rPr>
        <w:t>le</w:t>
      </w:r>
      <w:r w:rsidR="00BD7EF8">
        <w:rPr>
          <w:lang w:val="fr-CA"/>
        </w:rPr>
        <w:t xml:space="preserve"> </w:t>
      </w:r>
      <w:r w:rsidR="00E76D8E">
        <w:rPr>
          <w:lang w:val="fr-CA"/>
        </w:rPr>
        <w:t>bonus</w:t>
      </w:r>
      <w:r w:rsidR="00BD7EF8">
        <w:rPr>
          <w:lang w:val="fr-CA"/>
        </w:rPr>
        <w:t xml:space="preserve"> </w:t>
      </w:r>
      <w:r w:rsidRPr="0075188A">
        <w:rPr>
          <w:lang w:val="fr-CA"/>
        </w:rPr>
        <w:t xml:space="preserve">démographique. En d’autres termes, le </w:t>
      </w:r>
      <w:r w:rsidR="00E76D8E">
        <w:rPr>
          <w:lang w:val="fr-CA"/>
        </w:rPr>
        <w:t>bonus</w:t>
      </w:r>
      <w:r w:rsidR="00BD7EF8">
        <w:rPr>
          <w:lang w:val="fr-CA"/>
        </w:rPr>
        <w:t xml:space="preserve"> </w:t>
      </w:r>
      <w:r w:rsidRPr="0075188A">
        <w:rPr>
          <w:lang w:val="fr-CA"/>
        </w:rPr>
        <w:t>démographique est la hausse de la productivité économique qui se produit lorsque le nombre de personnes actives (âgées de 15 à 64 ans) est supérieur à celui des personnes à charge (les enfants de moins de 15 ans et les personnes âgées de 65 ans</w:t>
      </w:r>
      <w:r w:rsidR="0021298E">
        <w:rPr>
          <w:lang w:val="fr-CA"/>
        </w:rPr>
        <w:t xml:space="preserve"> et</w:t>
      </w:r>
      <w:r w:rsidR="00BD7EF8">
        <w:rPr>
          <w:lang w:val="fr-CA"/>
        </w:rPr>
        <w:t xml:space="preserve"> </w:t>
      </w:r>
      <w:r w:rsidR="0021298E" w:rsidRPr="0075188A">
        <w:rPr>
          <w:lang w:val="fr-CA"/>
        </w:rPr>
        <w:t>plus</w:t>
      </w:r>
      <w:r w:rsidRPr="0075188A">
        <w:rPr>
          <w:lang w:val="fr-CA"/>
        </w:rPr>
        <w:t xml:space="preserve">). </w:t>
      </w:r>
      <w:r w:rsidR="00E76D8E">
        <w:rPr>
          <w:lang w:val="fr-CA"/>
        </w:rPr>
        <w:t xml:space="preserve">Ce bonus démographique pourrait déboucher sur le dividende démographique qui est une accélération de la croissance économique, induite par ces changements de la structure par âge de la population, si toutefois des mesures idoines sont prises dans les domaines </w:t>
      </w:r>
      <w:r w:rsidR="00A07754">
        <w:rPr>
          <w:lang w:val="fr-CA"/>
        </w:rPr>
        <w:t>clés que sont la santé, l’éducation, l’économie et</w:t>
      </w:r>
      <w:r w:rsidR="00E76D8E">
        <w:rPr>
          <w:lang w:val="fr-CA"/>
        </w:rPr>
        <w:t xml:space="preserve"> la gouvernance. </w:t>
      </w:r>
      <w:r w:rsidRPr="0075188A">
        <w:rPr>
          <w:lang w:val="fr-CA"/>
        </w:rPr>
        <w:t>Le dividende démographique a contribué aux réalisations économiques extraordinaires de</w:t>
      </w:r>
      <w:r w:rsidR="00EB7B3A">
        <w:rPr>
          <w:lang w:val="fr-CA"/>
        </w:rPr>
        <w:t xml:space="preserve"> certains</w:t>
      </w:r>
      <w:r w:rsidRPr="0075188A">
        <w:rPr>
          <w:lang w:val="fr-CA"/>
        </w:rPr>
        <w:t xml:space="preserve"> pays émergents </w:t>
      </w:r>
      <w:r w:rsidRPr="0075188A">
        <w:t>(Corée du Sud, Taïwan, Hong Kong et Singapour)</w:t>
      </w:r>
      <w:r w:rsidR="00EB7B3A">
        <w:t>,</w:t>
      </w:r>
      <w:r w:rsidR="00113CA8">
        <w:t xml:space="preserve"> </w:t>
      </w:r>
      <w:r w:rsidRPr="0075188A">
        <w:rPr>
          <w:lang w:val="fr-CA"/>
        </w:rPr>
        <w:t xml:space="preserve">grâce à la baisse rapide de la fécondité et aux changements de la structure par âge </w:t>
      </w:r>
      <w:r w:rsidR="001B585D" w:rsidRPr="0075188A">
        <w:rPr>
          <w:lang w:val="fr-CA"/>
        </w:rPr>
        <w:fldChar w:fldCharType="begin"/>
      </w:r>
      <w:r w:rsidRPr="0075188A">
        <w:rPr>
          <w:lang w:val="fr-CA"/>
        </w:rPr>
        <w:instrText xml:space="preserve"> ADDIN EN.CITE &lt;EndNote&gt;&lt;Cite&gt;&lt;Author&gt;Cai&lt;/Author&gt;&lt;Year&gt;2010&lt;/Year&gt;&lt;RecNum&gt;1690&lt;/RecNum&gt;&lt;DisplayText&gt;(Cai, 2010)&lt;/DisplayText&gt;&lt;record&gt;&lt;rec-number&gt;1690&lt;/rec-number&gt;&lt;foreign-keys&gt;&lt;key app="EN" db-id="rp90rxe0lfwt04ewwrups2vqpf2xffxfw022" timestamp="1479467870"&gt;1690&lt;/key&gt;&lt;/foreign-keys&gt;&lt;ref-type name="Journal Article"&gt;17&lt;/ref-type&gt;&lt;contributors&gt;&lt;authors&gt;&lt;author&gt;Cai, Fang&lt;/author&gt;&lt;/authors&gt;&lt;/contributors&gt;&lt;titles&gt;&lt;title&gt;Demographic transition, demographic dividend, and Lewis turning point in China&lt;/title&gt;&lt;secondary-title&gt;China Economic Journal&lt;/secondary-title&gt;&lt;/titles&gt;&lt;periodical&gt;&lt;full-title&gt;China Economic Journal&lt;/full-title&gt;&lt;/periodical&gt;&lt;pages&gt;107-119&lt;/pages&gt;&lt;volume&gt;3&lt;/volume&gt;&lt;number&gt;2&lt;/number&gt;&lt;dates&gt;&lt;year&gt;2010&lt;/year&gt;&lt;/dates&gt;&lt;isbn&gt;1753-8963&lt;/isbn&gt;&lt;urls&gt;&lt;/urls&gt;&lt;/record&gt;&lt;/Cite&gt;&lt;/EndNote&gt;</w:instrText>
      </w:r>
      <w:r w:rsidR="001B585D" w:rsidRPr="0075188A">
        <w:rPr>
          <w:lang w:val="fr-CA"/>
        </w:rPr>
        <w:fldChar w:fldCharType="separate"/>
      </w:r>
      <w:r w:rsidRPr="0075188A">
        <w:rPr>
          <w:noProof/>
          <w:lang w:val="fr-CA"/>
        </w:rPr>
        <w:t>(</w:t>
      </w:r>
      <w:hyperlink w:anchor="_ENREF_9" w:tooltip="Cai, 2010 #1690" w:history="1">
        <w:r w:rsidRPr="0075188A">
          <w:rPr>
            <w:noProof/>
            <w:lang w:val="fr-CA"/>
          </w:rPr>
          <w:t>Cai, 2010</w:t>
        </w:r>
      </w:hyperlink>
      <w:r w:rsidRPr="0075188A">
        <w:rPr>
          <w:noProof/>
          <w:lang w:val="fr-CA"/>
        </w:rPr>
        <w:t>)</w:t>
      </w:r>
      <w:r w:rsidR="001B585D" w:rsidRPr="0075188A">
        <w:rPr>
          <w:lang w:val="fr-CA"/>
        </w:rPr>
        <w:fldChar w:fldCharType="end"/>
      </w:r>
      <w:r w:rsidRPr="0075188A">
        <w:rPr>
          <w:lang w:val="fr-CA"/>
        </w:rPr>
        <w:t>. Le dividende démographique a également été</w:t>
      </w:r>
      <w:r w:rsidRPr="0075188A">
        <w:t xml:space="preserve"> la voie empruntée par de nombreux pays d’Amérique latine pour sortir de la pauvreté. Des études ont montré que la majorité de pays développés sur le plan socio-économique, ne le sont devenus sans une accélération de la transition démographique, traduite par une chute rapide de la fécondité et de la mortalité </w:t>
      </w:r>
      <w:r w:rsidR="001B585D" w:rsidRPr="0075188A">
        <w:fldChar w:fldCharType="begin"/>
      </w:r>
      <w:r w:rsidRPr="0075188A">
        <w:instrText xml:space="preserve"> ADDIN EN.CITE &lt;EndNote&gt;&lt;Cite&gt;&lt;Author&gt;Bloom&lt;/Author&gt;&lt;Year&gt;2003&lt;/Year&gt;&lt;RecNum&gt;1647&lt;/RecNum&gt;&lt;DisplayText&gt;(Bloom et al., 2003, Davis, 1963)&lt;/DisplayText&gt;&lt;record&gt;&lt;rec-number&gt;1647&lt;/rec-number&gt;&lt;foreign-keys&gt;&lt;key app="EN" db-id="rp90rxe0lfwt04ewwrups2vqpf2xffxfw022" timestamp="1479138114"&gt;1647&lt;/key&gt;&lt;/foreign-keys&gt;&lt;ref-type name="Book"&gt;6&lt;/ref-type&gt;&lt;contributors&gt;&lt;authors&gt;&lt;author&gt;Bloom, D.&lt;/author&gt;&lt;author&gt;Canning, D.&lt;/author&gt;&lt;author&gt;Sevilla, J.&lt;/author&gt;&lt;/authors&gt;&lt;/contributors&gt;&lt;titles&gt;&lt;title&gt;The demographic dividend: A new perspective on the economic consequences of population change&lt;/title&gt;&lt;/titles&gt;&lt;pages&gt;107&lt;/pages&gt;&lt;dates&gt;&lt;year&gt;2003&lt;/year&gt;&lt;/dates&gt;&lt;pub-location&gt;Santa Monica&lt;/pub-location&gt;&lt;publisher&gt;Rand Corporation&lt;/publisher&gt;&lt;isbn&gt;0833033735&lt;/isbn&gt;&lt;urls&gt;&lt;/urls&gt;&lt;/record&gt;&lt;/Cite&gt;&lt;Cite&gt;&lt;Author&gt;Davis&lt;/Author&gt;&lt;Year&gt;1963&lt;/Year&gt;&lt;RecNum&gt;1686&lt;/RecNum&gt;&lt;record&gt;&lt;rec-number&gt;1686&lt;/rec-number&gt;&lt;foreign-keys&gt;&lt;key app="EN" db-id="rp90rxe0lfwt04ewwrups2vqpf2xffxfw022" timestamp="1479467650"&gt;1686&lt;/key&gt;&lt;/foreign-keys&gt;&lt;ref-type name="Journal Article"&gt;17&lt;/ref-type&gt;&lt;contributors&gt;&lt;authors&gt;&lt;author&gt;Davis, Kingsley&lt;/author&gt;&lt;/authors&gt;&lt;/contributors&gt;&lt;titles&gt;&lt;title&gt;The theory of change and response in modern demographic history&lt;/title&gt;&lt;secondary-title&gt;Population index&lt;/secondary-title&gt;&lt;/titles&gt;&lt;periodical&gt;&lt;full-title&gt;Population index&lt;/full-title&gt;&lt;/periodical&gt;&lt;pages&gt;345&lt;/pages&gt;&lt;volume&gt;29&lt;/volume&gt;&lt;number&gt;4&lt;/number&gt;&lt;dates&gt;&lt;year&gt;1963&lt;/year&gt;&lt;/dates&gt;&lt;isbn&gt;0032-4701&lt;/isbn&gt;&lt;urls&gt;&lt;/urls&gt;&lt;/record&gt;&lt;/Cite&gt;&lt;/EndNote&gt;</w:instrText>
      </w:r>
      <w:r w:rsidR="001B585D" w:rsidRPr="0075188A">
        <w:fldChar w:fldCharType="separate"/>
      </w:r>
      <w:r w:rsidRPr="0075188A">
        <w:rPr>
          <w:noProof/>
        </w:rPr>
        <w:t>(</w:t>
      </w:r>
      <w:hyperlink w:anchor="_ENREF_4" w:tooltip="Bloom, 2003 #1647" w:history="1">
        <w:r w:rsidRPr="0075188A">
          <w:rPr>
            <w:noProof/>
          </w:rPr>
          <w:t>Bloom et al., 2003</w:t>
        </w:r>
      </w:hyperlink>
      <w:r w:rsidRPr="0075188A">
        <w:rPr>
          <w:noProof/>
        </w:rPr>
        <w:t xml:space="preserve">, </w:t>
      </w:r>
      <w:hyperlink w:anchor="_ENREF_13" w:tooltip="Davis, 1963 #1686" w:history="1">
        <w:r w:rsidRPr="0075188A">
          <w:rPr>
            <w:noProof/>
          </w:rPr>
          <w:t>Davis, 1963</w:t>
        </w:r>
      </w:hyperlink>
      <w:r w:rsidRPr="0075188A">
        <w:rPr>
          <w:noProof/>
        </w:rPr>
        <w:t>)</w:t>
      </w:r>
      <w:r w:rsidR="001B585D" w:rsidRPr="0075188A">
        <w:fldChar w:fldCharType="end"/>
      </w:r>
      <w:r w:rsidRPr="0075188A">
        <w:t>.</w:t>
      </w:r>
    </w:p>
    <w:p w:rsidR="00E71C9F" w:rsidRDefault="0075188A" w:rsidP="00B36843">
      <w:pPr>
        <w:autoSpaceDE w:val="0"/>
        <w:autoSpaceDN w:val="0"/>
        <w:adjustRightInd w:val="0"/>
        <w:spacing w:before="120" w:line="276" w:lineRule="auto"/>
        <w:jc w:val="both"/>
        <w:rPr>
          <w:lang w:val="fr-CA"/>
        </w:rPr>
      </w:pPr>
      <w:r w:rsidRPr="0075188A">
        <w:t xml:space="preserve">Les résultats des études ont révélé qu’au cours des 50 prochaines années, le plus grand atout de l’Afrique subsaharienne, mais également son talon d’Achille potentiel, sera sa population jeune et nombreuse </w:t>
      </w:r>
      <w:r w:rsidR="001B585D" w:rsidRPr="0075188A">
        <w:fldChar w:fldCharType="begin">
          <w:fldData xml:space="preserve">PEVuZE5vdGU+PENpdGU+PEF1dGhvcj5BZG1hc3NpZTwvQXV0aG9yPjxZZWFyPjIwMTQ8L1llYXI+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</w:fldData>
        </w:fldChar>
      </w:r>
      <w:r w:rsidRPr="0075188A">
        <w:instrText xml:space="preserve"> ADDIN EN.CITE </w:instrText>
      </w:r>
      <w:r w:rsidR="001B585D" w:rsidRPr="0075188A">
        <w:fldChar w:fldCharType="begin">
          <w:fldData xml:space="preserve">PEVuZE5vdGU+PENpdGU+PEF1dGhvcj5BZG1hc3NpZTwvQXV0aG9yPjxZZWFyPjIwMTQ8L1llYXI+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</w:fldData>
        </w:fldChar>
      </w:r>
      <w:r w:rsidRPr="0075188A">
        <w:instrText xml:space="preserve"> ADDIN EN.CITE.DATA </w:instrText>
      </w:r>
      <w:r w:rsidR="001B585D" w:rsidRPr="0075188A">
        <w:fldChar w:fldCharType="end"/>
      </w:r>
      <w:r w:rsidR="001B585D" w:rsidRPr="0075188A">
        <w:fldChar w:fldCharType="separate"/>
      </w:r>
      <w:r w:rsidRPr="0075188A">
        <w:rPr>
          <w:noProof/>
        </w:rPr>
        <w:t>(</w:t>
      </w:r>
      <w:hyperlink w:anchor="_ENREF_1" w:tooltip="Admassie, 2014 #1429" w:history="1">
        <w:r w:rsidRPr="0075188A">
          <w:rPr>
            <w:noProof/>
          </w:rPr>
          <w:t xml:space="preserve">Admassie </w:t>
        </w:r>
        <w:r w:rsidR="00EB7B3A">
          <w:rPr>
            <w:noProof/>
          </w:rPr>
          <w:t>et</w:t>
        </w:r>
        <w:r w:rsidRPr="0075188A">
          <w:rPr>
            <w:noProof/>
          </w:rPr>
          <w:t>Abebaw, 2014</w:t>
        </w:r>
      </w:hyperlink>
      <w:proofErr w:type="gramStart"/>
      <w:r w:rsidRPr="0075188A">
        <w:rPr>
          <w:noProof/>
        </w:rPr>
        <w:t xml:space="preserve">, </w:t>
      </w:r>
      <w:hyperlink w:anchor="_ENREF_4" w:tooltip="Bloom, 2003 #1647" w:history="1">
        <w:r w:rsidRPr="0075188A">
          <w:rPr>
            <w:noProof/>
          </w:rPr>
          <w:t>Bloom et al., 2003</w:t>
        </w:r>
      </w:hyperlink>
      <w:r w:rsidRPr="0075188A">
        <w:rPr>
          <w:noProof/>
        </w:rPr>
        <w:t>,</w:t>
      </w:r>
      <w:proofErr w:type="gramEnd"/>
      <w:r w:rsidRPr="0075188A">
        <w:rPr>
          <w:noProof/>
        </w:rPr>
        <w:t xml:space="preserve"> </w:t>
      </w:r>
      <w:hyperlink w:anchor="_ENREF_5" w:tooltip="Bloom, 2013 #1653" w:history="1">
        <w:r w:rsidRPr="0075188A">
          <w:rPr>
            <w:noProof/>
          </w:rPr>
          <w:t>Bloom et al., 2013</w:t>
        </w:r>
      </w:hyperlink>
      <w:r w:rsidRPr="0075188A">
        <w:rPr>
          <w:noProof/>
        </w:rPr>
        <w:t>)</w:t>
      </w:r>
      <w:r w:rsidR="001B585D" w:rsidRPr="0075188A">
        <w:fldChar w:fldCharType="end"/>
      </w:r>
      <w:r w:rsidRPr="0075188A">
        <w:t xml:space="preserve">. Le dividende démographique se présente donc comme une opportunité pour l’Afrique subsaharienne, du fait de l’augmentation de la proportion de personnes en âge de travailler par rapport à celle des personnes à charge dans de nombreux pays subsahariens. </w:t>
      </w:r>
      <w:r w:rsidRPr="0075188A">
        <w:rPr>
          <w:lang w:val="fr-CA"/>
        </w:rPr>
        <w:t>Avec moins de jeunes et peu de personnes âgées à charge, la population active peut alors investir une part plus importante de ses revenus dans le secteur productif via l'épargne. Aussi</w:t>
      </w:r>
      <w:r w:rsidR="003E72EB">
        <w:rPr>
          <w:lang w:val="fr-CA"/>
        </w:rPr>
        <w:t>,</w:t>
      </w:r>
      <w:r w:rsidR="000B67F5">
        <w:rPr>
          <w:lang w:val="fr-CA"/>
        </w:rPr>
        <w:t xml:space="preserve"> </w:t>
      </w:r>
      <w:r w:rsidR="003E72EB">
        <w:t>l</w:t>
      </w:r>
      <w:r w:rsidRPr="0075188A">
        <w:t xml:space="preserve">a plupart des décideurs africains considèrent aujourd'hui le concept de dividende démographique comme un levier supplémentaire dans l’effort de développement de leurs pays, un élément central du débat sur l’émergence </w:t>
      </w:r>
      <w:r w:rsidR="00EB7B3A">
        <w:t>des pays</w:t>
      </w:r>
      <w:r w:rsidRPr="0075188A">
        <w:t>. L’accélération de la croissance économique est nécessaire pour réduire les inégalités et la pauvreté en vue d’améliorer les conditions de vie des populations en Afr</w:t>
      </w:r>
      <w:r w:rsidR="0057143D">
        <w:t xml:space="preserve">ique subsaharienne. </w:t>
      </w:r>
      <w:r w:rsidRPr="0075188A">
        <w:t>Les changements démographiques en cours pourraient ainsi appuyer les efforts de développement du continent en créant des conditions favorisant l’épargne, l’investissement productif et l’amélioration du capital humain.</w:t>
      </w:r>
    </w:p>
    <w:p w:rsidR="00E71C9F" w:rsidRPr="002B6037" w:rsidRDefault="0075188A" w:rsidP="00B36843">
      <w:pPr>
        <w:autoSpaceDE w:val="0"/>
        <w:autoSpaceDN w:val="0"/>
        <w:adjustRightInd w:val="0"/>
        <w:spacing w:before="120" w:line="276" w:lineRule="auto"/>
        <w:jc w:val="both"/>
        <w:rPr>
          <w:lang w:val="fr-CA"/>
        </w:rPr>
      </w:pPr>
      <w:r w:rsidRPr="0075188A">
        <w:rPr>
          <w:lang w:val="fr-CA"/>
        </w:rPr>
        <w:t xml:space="preserve">Ces liens étroits entre le développement humain, la démographie et la croissance économique ont conduit les partenaires au développement </w:t>
      </w:r>
      <w:r w:rsidR="003E72EB">
        <w:rPr>
          <w:lang w:val="fr-CA"/>
        </w:rPr>
        <w:t xml:space="preserve">à </w:t>
      </w:r>
      <w:r w:rsidRPr="0075188A">
        <w:rPr>
          <w:lang w:val="fr-CA"/>
        </w:rPr>
        <w:t>s'engager à accompagner les pays africains dans leur démarche en vue de bénéficier des retombées du dividende démographique</w:t>
      </w:r>
      <w:r w:rsidR="007F5693">
        <w:rPr>
          <w:lang w:val="fr-CA"/>
        </w:rPr>
        <w:t xml:space="preserve"> (UNFPA, UA et UN, 2013)</w:t>
      </w:r>
      <w:r w:rsidRPr="0075188A">
        <w:rPr>
          <w:lang w:val="fr-CA"/>
        </w:rPr>
        <w:t xml:space="preserve">. </w:t>
      </w:r>
      <w:r w:rsidRPr="0075188A">
        <w:t>La 70</w:t>
      </w:r>
      <w:r w:rsidR="0057143D">
        <w:rPr>
          <w:vertAlign w:val="superscript"/>
        </w:rPr>
        <w:t>ème</w:t>
      </w:r>
      <w:r w:rsidR="00113CA8">
        <w:rPr>
          <w:vertAlign w:val="superscript"/>
        </w:rPr>
        <w:t xml:space="preserve"> </w:t>
      </w:r>
      <w:r w:rsidRPr="0075188A">
        <w:t xml:space="preserve">Session de l’Assemblée Générale des Nations Unies, tenue en septembre 2015, avait pour thème central le dividende démographique. Ce dernier est au cœur de la feuille de route de l’Union africaine : </w:t>
      </w:r>
      <w:r w:rsidRPr="0075188A">
        <w:lastRenderedPageBreak/>
        <w:t>« Agenda 2063 : l’Afrique que nous voulons ». Il a été retenu comme thème de l’année 2017 et également comme thème central du sommet de l’Union Africaine en 2017</w:t>
      </w:r>
      <w:r w:rsidR="0057143D">
        <w:t xml:space="preserve"> (Union Africaine, 2017)</w:t>
      </w:r>
      <w:r w:rsidRPr="0075188A">
        <w:t>. À cet effet, l</w:t>
      </w:r>
      <w:r w:rsidR="00004210">
        <w:t>’UNFPA</w:t>
      </w:r>
      <w:r w:rsidR="00AD49CD">
        <w:t xml:space="preserve"> </w:t>
      </w:r>
      <w:r w:rsidRPr="0075188A">
        <w:t xml:space="preserve">a été mandaté par l’Union Africaine </w:t>
      </w:r>
      <w:r w:rsidRPr="002B6037">
        <w:t xml:space="preserve">pour </w:t>
      </w:r>
      <w:r w:rsidR="00A07754" w:rsidRPr="002B6037">
        <w:t>accompagner</w:t>
      </w:r>
      <w:r w:rsidRPr="002B6037">
        <w:t xml:space="preserve"> les pays africains dans le processus devant leur permettre de tirer pleinement profit du dividende démographique.</w:t>
      </w:r>
      <w:r w:rsidR="009A0B72" w:rsidRPr="002B6037">
        <w:t xml:space="preserve"> </w:t>
      </w:r>
      <w:r w:rsidRPr="002B6037">
        <w:t xml:space="preserve"> L</w:t>
      </w:r>
      <w:r w:rsidR="00004210" w:rsidRPr="002B6037">
        <w:t>’UNFPA</w:t>
      </w:r>
      <w:r w:rsidR="00AD49CD" w:rsidRPr="002B6037">
        <w:t xml:space="preserve"> </w:t>
      </w:r>
      <w:r w:rsidRPr="002B6037">
        <w:t>a ainsi organisé à Dakar en juin 2015, une rencontr</w:t>
      </w:r>
      <w:r w:rsidR="00A07754" w:rsidRPr="002B6037">
        <w:t xml:space="preserve">e permettant de systématiser l’adhésion en vue du </w:t>
      </w:r>
      <w:r w:rsidRPr="002B6037">
        <w:t>bénéfice du dividende démographique</w:t>
      </w:r>
      <w:r w:rsidR="009D0363" w:rsidRPr="002B6037">
        <w:t xml:space="preserve"> (AFIDEP, 2015)</w:t>
      </w:r>
      <w:r w:rsidRPr="002B6037">
        <w:t>.</w:t>
      </w:r>
    </w:p>
    <w:p w:rsidR="008E776A" w:rsidRPr="00056DAD" w:rsidRDefault="0075188A" w:rsidP="00B36843">
      <w:pPr>
        <w:autoSpaceDE w:val="0"/>
        <w:autoSpaceDN w:val="0"/>
        <w:adjustRightInd w:val="0"/>
        <w:spacing w:before="120" w:line="276" w:lineRule="auto"/>
        <w:jc w:val="both"/>
      </w:pPr>
      <w:r w:rsidRPr="002B6037">
        <w:t>La progression vers le dividende démographique au</w:t>
      </w:r>
      <w:r w:rsidRPr="0075188A">
        <w:t xml:space="preserve"> Cameroun se fera en plusieurs étapes dont la première aura pour objectif principal la déclaration politique</w:t>
      </w:r>
      <w:r w:rsidR="00AD49CD">
        <w:t xml:space="preserve"> </w:t>
      </w:r>
      <w:r w:rsidRPr="0075188A">
        <w:t xml:space="preserve">sur le dividende démographique d'où découleront des stratégies sectorielles. La seconde étape portera ainsi sur l’élaboration d’un plan d’investissement se fondant sur les documents stratégiques existants ou à revisiter à l'instar de la </w:t>
      </w:r>
      <w:r w:rsidR="009875B9">
        <w:t>D</w:t>
      </w:r>
      <w:r w:rsidR="009875B9" w:rsidRPr="0075188A">
        <w:t xml:space="preserve">éclaration </w:t>
      </w:r>
      <w:r w:rsidR="009875B9">
        <w:t>de la P</w:t>
      </w:r>
      <w:r w:rsidR="009875B9" w:rsidRPr="0075188A">
        <w:t xml:space="preserve">olitique </w:t>
      </w:r>
      <w:r w:rsidR="009875B9">
        <w:t>N</w:t>
      </w:r>
      <w:r w:rsidR="009875B9" w:rsidRPr="0075188A">
        <w:t xml:space="preserve">ationale </w:t>
      </w:r>
      <w:r w:rsidRPr="0075188A">
        <w:t xml:space="preserve">de la </w:t>
      </w:r>
      <w:r w:rsidR="009875B9">
        <w:t>P</w:t>
      </w:r>
      <w:r w:rsidR="009875B9" w:rsidRPr="0075188A">
        <w:t>opulation</w:t>
      </w:r>
      <w:r w:rsidRPr="0075188A">
        <w:t xml:space="preserve">, du </w:t>
      </w:r>
      <w:r w:rsidR="00F00E2D">
        <w:t>D</w:t>
      </w:r>
      <w:r w:rsidRPr="0075188A">
        <w:t xml:space="preserve">ocument de </w:t>
      </w:r>
      <w:r w:rsidR="00F00E2D">
        <w:t>S</w:t>
      </w:r>
      <w:r w:rsidRPr="0075188A">
        <w:t xml:space="preserve">tratégie </w:t>
      </w:r>
      <w:r w:rsidR="00F00E2D">
        <w:t>pour la</w:t>
      </w:r>
      <w:r w:rsidR="00AD49CD">
        <w:t xml:space="preserve"> </w:t>
      </w:r>
      <w:r w:rsidR="00F00E2D">
        <w:t>C</w:t>
      </w:r>
      <w:r w:rsidRPr="0075188A">
        <w:t>roissance et l’</w:t>
      </w:r>
      <w:r w:rsidR="00F00E2D">
        <w:t>E</w:t>
      </w:r>
      <w:r w:rsidRPr="0075188A">
        <w:t xml:space="preserve">mploi et de la </w:t>
      </w:r>
      <w:r w:rsidR="00F00E2D">
        <w:t>V</w:t>
      </w:r>
      <w:r w:rsidR="00F00E2D" w:rsidRPr="0075188A">
        <w:t xml:space="preserve">ision </w:t>
      </w:r>
      <w:r w:rsidRPr="0075188A">
        <w:t>2035</w:t>
      </w:r>
      <w:r w:rsidR="003E72EB">
        <w:t>,</w:t>
      </w:r>
      <w:r w:rsidRPr="0075188A">
        <w:t xml:space="preserve"> etc.</w:t>
      </w:r>
      <w:r w:rsidR="0096252A">
        <w:t xml:space="preserve"> La réussite de cette démarche dépendra de l'appropriation de ce paradigme aussi bien par les décideurs que </w:t>
      </w:r>
      <w:r w:rsidR="00F05344">
        <w:t>par</w:t>
      </w:r>
      <w:r w:rsidR="0096252A">
        <w:t xml:space="preserve"> l'ensemble de la population à travers un plaidoyer et une sensibilisation fondés sur un argumentaire crédible. </w:t>
      </w:r>
      <w:r w:rsidR="00F05344">
        <w:t xml:space="preserve">Parmi les approches existantes </w:t>
      </w:r>
      <w:r w:rsidR="00856712">
        <w:t>(NTA</w:t>
      </w:r>
      <w:r w:rsidR="00856712">
        <w:rPr>
          <w:rStyle w:val="Appelnotedebasdep"/>
        </w:rPr>
        <w:footnoteReference w:id="3"/>
      </w:r>
      <w:r w:rsidR="00856712">
        <w:t xml:space="preserve"> et DemDiv) </w:t>
      </w:r>
      <w:r w:rsidR="00F05344">
        <w:t>pour la modélisation du dividende démographique l</w:t>
      </w:r>
      <w:r w:rsidR="0096252A">
        <w:t xml:space="preserve">e Cameroun a opté pour </w:t>
      </w:r>
      <w:r w:rsidR="00F05344">
        <w:t xml:space="preserve">le modèle </w:t>
      </w:r>
      <w:r w:rsidR="0096252A">
        <w:t>DemDiv</w:t>
      </w:r>
      <w:r w:rsidR="00F05344">
        <w:t xml:space="preserve"> (</w:t>
      </w:r>
      <w:proofErr w:type="spellStart"/>
      <w:r w:rsidR="00F05344">
        <w:t>Demographic</w:t>
      </w:r>
      <w:proofErr w:type="spellEnd"/>
      <w:r w:rsidR="00F05344">
        <w:t xml:space="preserve"> </w:t>
      </w:r>
      <w:proofErr w:type="spellStart"/>
      <w:r w:rsidR="00F05344">
        <w:t>Dividend</w:t>
      </w:r>
      <w:proofErr w:type="spellEnd"/>
      <w:r w:rsidR="00F05344">
        <w:t>)</w:t>
      </w:r>
      <w:r w:rsidR="0096252A">
        <w:t>.</w:t>
      </w:r>
      <w:r w:rsidR="00BD7EF8">
        <w:t xml:space="preserve"> </w:t>
      </w:r>
      <w:r w:rsidR="00C03D5B" w:rsidRPr="00631A33">
        <w:t>Cette préférence du DemDiv pour la modélisation du dividende démographique au Cameroun se justifie d’une part, pour son avantage de minimiser le décalage entre la recherche et la décision, et d’autre part, pour son ciblage des investissements multisectoriels adéquats pour l’atteinte du dividende démographique.</w:t>
      </w:r>
      <w:r w:rsidR="00BD7EF8">
        <w:t xml:space="preserve"> </w:t>
      </w:r>
      <w:r w:rsidR="000A6219" w:rsidRPr="000A6219">
        <w:t>Le</w:t>
      </w:r>
      <w:r w:rsidR="000A6219">
        <w:t>s</w:t>
      </w:r>
      <w:r w:rsidR="000A6219" w:rsidRPr="000A6219">
        <w:t xml:space="preserve"> résultats </w:t>
      </w:r>
      <w:r w:rsidR="000A6219">
        <w:t xml:space="preserve">du modèle DemDiv </w:t>
      </w:r>
      <w:r w:rsidR="000A6219" w:rsidRPr="000A6219">
        <w:t xml:space="preserve"> sont facilement compréhensibles pour les décideurs. </w:t>
      </w:r>
      <w:r w:rsidR="005E55CA">
        <w:t>Alors que le NTA</w:t>
      </w:r>
      <w:r w:rsidR="000A6219" w:rsidRPr="000A6219">
        <w:t xml:space="preserve"> (National Transfer </w:t>
      </w:r>
      <w:proofErr w:type="spellStart"/>
      <w:r w:rsidR="000A6219" w:rsidRPr="000A6219">
        <w:t>Accounts</w:t>
      </w:r>
      <w:proofErr w:type="spellEnd"/>
      <w:r w:rsidR="000A6219" w:rsidRPr="000A6219">
        <w:t>)</w:t>
      </w:r>
      <w:r w:rsidR="000A6219" w:rsidRPr="000A6219">
        <w:rPr>
          <w:vertAlign w:val="superscript"/>
        </w:rPr>
        <w:footnoteReference w:id="4"/>
      </w:r>
      <w:r w:rsidR="000A6219" w:rsidRPr="000A6219">
        <w:t xml:space="preserve"> nécessite beaucoup de données et 4 à 6 mois pour construire les profils NTA. Le principal défi de cette méthodologie est qu’elle nécessite beaucoup de temps</w:t>
      </w:r>
      <w:r w:rsidR="005E55CA">
        <w:t xml:space="preserve"> (AFIDEP, 2016)</w:t>
      </w:r>
      <w:r w:rsidR="000A6219" w:rsidRPr="000A6219">
        <w:t>.</w:t>
      </w:r>
    </w:p>
    <w:p w:rsidR="00E71C9F" w:rsidRDefault="008E776A" w:rsidP="00031E04">
      <w:pPr>
        <w:pStyle w:val="Titre1"/>
        <w:numPr>
          <w:ilvl w:val="0"/>
          <w:numId w:val="74"/>
        </w:numPr>
        <w:spacing w:before="240" w:after="0"/>
        <w:ind w:left="714" w:hanging="357"/>
        <w:jc w:val="both"/>
      </w:pPr>
      <w:bookmarkStart w:id="17" w:name="_Toc474777041"/>
      <w:bookmarkStart w:id="18" w:name="_Toc479009912"/>
      <w:r w:rsidRPr="00D44D78">
        <w:t>Objectifs de l’étude</w:t>
      </w:r>
      <w:bookmarkEnd w:id="17"/>
      <w:bookmarkEnd w:id="18"/>
    </w:p>
    <w:p w:rsidR="001E59D8" w:rsidRDefault="0075188A" w:rsidP="00B36843">
      <w:pPr>
        <w:spacing w:before="240" w:line="276" w:lineRule="auto"/>
        <w:jc w:val="both"/>
      </w:pPr>
      <w:r w:rsidRPr="0075188A">
        <w:t xml:space="preserve">L'étude sur la modélisation du dividende démographique au Cameroun vise à mettre à la disposition des décideurs politiques </w:t>
      </w:r>
      <w:r w:rsidR="001E59D8">
        <w:t xml:space="preserve">des informations </w:t>
      </w:r>
      <w:r w:rsidRPr="0075188A">
        <w:t>crédible</w:t>
      </w:r>
      <w:r w:rsidR="001E59D8">
        <w:t>s et pertinentes</w:t>
      </w:r>
      <w:r w:rsidRPr="0075188A">
        <w:t xml:space="preserve"> devant leur permettre d'opérer des choix appropriés </w:t>
      </w:r>
      <w:r w:rsidR="001E59D8">
        <w:t>pour bénéficier</w:t>
      </w:r>
      <w:r w:rsidRPr="0075188A">
        <w:t xml:space="preserve"> du dividende démographique. </w:t>
      </w:r>
    </w:p>
    <w:p w:rsidR="008E776A" w:rsidRPr="002441B9" w:rsidRDefault="00573C52" w:rsidP="00B36843">
      <w:pPr>
        <w:spacing w:before="240" w:line="276" w:lineRule="auto"/>
        <w:jc w:val="both"/>
      </w:pPr>
      <w:r w:rsidRPr="00631A33">
        <w:t xml:space="preserve">L’objectif </w:t>
      </w:r>
      <w:r>
        <w:t xml:space="preserve">général </w:t>
      </w:r>
      <w:r w:rsidRPr="00631A33">
        <w:t xml:space="preserve">de </w:t>
      </w:r>
      <w:r w:rsidR="002E568B">
        <w:t>cette</w:t>
      </w:r>
      <w:r w:rsidRPr="00631A33">
        <w:t xml:space="preserve"> étude </w:t>
      </w:r>
      <w:r w:rsidR="002E568B">
        <w:t xml:space="preserve">était </w:t>
      </w:r>
      <w:r w:rsidRPr="00631A33">
        <w:t xml:space="preserve">de réaliser </w:t>
      </w:r>
      <w:r>
        <w:t>une</w:t>
      </w:r>
      <w:r w:rsidRPr="00631A33">
        <w:t xml:space="preserve"> modélisation sur le dividende démographique</w:t>
      </w:r>
      <w:r>
        <w:t>,</w:t>
      </w:r>
      <w:r w:rsidRPr="00631A33">
        <w:t xml:space="preserve"> à partir des données collectées et validées de manière participative par les sectoriels, </w:t>
      </w:r>
      <w:r>
        <w:t>en vue</w:t>
      </w:r>
      <w:r w:rsidRPr="00631A33">
        <w:t xml:space="preserve"> de formuler des recommandations pour une meilleure appropriation du processus </w:t>
      </w:r>
      <w:r>
        <w:t>ainsi qu'une</w:t>
      </w:r>
      <w:r w:rsidRPr="00631A33">
        <w:t xml:space="preserve"> déclaration politique</w:t>
      </w:r>
      <w:r w:rsidR="00BD7EF8">
        <w:t xml:space="preserve"> </w:t>
      </w:r>
      <w:r>
        <w:t xml:space="preserve">sur le dividende démographique </w:t>
      </w:r>
      <w:r w:rsidRPr="00631A33">
        <w:t>au Cameroun</w:t>
      </w:r>
      <w:r>
        <w:t xml:space="preserve">. </w:t>
      </w:r>
      <w:r w:rsidR="00856712">
        <w:t>Il</w:t>
      </w:r>
      <w:r w:rsidR="00BD7EF8">
        <w:t xml:space="preserve"> </w:t>
      </w:r>
      <w:r>
        <w:t>s'</w:t>
      </w:r>
      <w:r w:rsidR="002E568B">
        <w:t>est agi</w:t>
      </w:r>
      <w:r w:rsidR="00BD7EF8">
        <w:t xml:space="preserve"> </w:t>
      </w:r>
      <w:r w:rsidR="00856712" w:rsidRPr="0075188A">
        <w:t xml:space="preserve">spécifiquement </w:t>
      </w:r>
      <w:r w:rsidR="0075188A" w:rsidRPr="0075188A">
        <w:t>de :</w:t>
      </w:r>
    </w:p>
    <w:p w:rsidR="00E71C9F" w:rsidRDefault="00573C52" w:rsidP="00B36843">
      <w:pPr>
        <w:numPr>
          <w:ilvl w:val="0"/>
          <w:numId w:val="1"/>
        </w:numPr>
        <w:tabs>
          <w:tab w:val="clear" w:pos="360"/>
          <w:tab w:val="num" w:pos="720"/>
        </w:tabs>
        <w:spacing w:before="120" w:line="276" w:lineRule="auto"/>
        <w:ind w:left="357" w:hanging="357"/>
        <w:jc w:val="both"/>
      </w:pPr>
      <w:r>
        <w:t>m</w:t>
      </w:r>
      <w:r w:rsidR="0075188A" w:rsidRPr="0075188A">
        <w:t>obiliser les données nationales nécessaires à la modélisation ;</w:t>
      </w:r>
    </w:p>
    <w:p w:rsidR="00E71C9F" w:rsidRDefault="00573C52" w:rsidP="00B36843">
      <w:pPr>
        <w:numPr>
          <w:ilvl w:val="0"/>
          <w:numId w:val="1"/>
        </w:numPr>
        <w:tabs>
          <w:tab w:val="clear" w:pos="360"/>
          <w:tab w:val="num" w:pos="720"/>
        </w:tabs>
        <w:spacing w:before="120" w:line="276" w:lineRule="auto"/>
        <w:ind w:left="357" w:hanging="357"/>
        <w:jc w:val="both"/>
      </w:pPr>
      <w:r>
        <w:lastRenderedPageBreak/>
        <w:t>r</w:t>
      </w:r>
      <w:r w:rsidR="0075188A" w:rsidRPr="0075188A">
        <w:t>éaliser la modélisation sur la base des données collectées et des orientations du rapp</w:t>
      </w:r>
      <w:r w:rsidR="002E568B">
        <w:t xml:space="preserve">ort de la mission d’exploration </w:t>
      </w:r>
      <w:r w:rsidR="0075188A" w:rsidRPr="0075188A">
        <w:t>sur le divi</w:t>
      </w:r>
      <w:r w:rsidR="002E568B">
        <w:t>dende démographique au Cameroun </w:t>
      </w:r>
      <w:r w:rsidR="0075188A" w:rsidRPr="0075188A">
        <w:t>;</w:t>
      </w:r>
    </w:p>
    <w:p w:rsidR="00E71C9F" w:rsidRDefault="00573C52" w:rsidP="00B36843">
      <w:pPr>
        <w:numPr>
          <w:ilvl w:val="0"/>
          <w:numId w:val="1"/>
        </w:numPr>
        <w:tabs>
          <w:tab w:val="clear" w:pos="360"/>
          <w:tab w:val="num" w:pos="720"/>
        </w:tabs>
        <w:spacing w:before="120" w:line="276" w:lineRule="auto"/>
        <w:ind w:left="357" w:hanging="357"/>
        <w:jc w:val="both"/>
      </w:pPr>
      <w:r>
        <w:t>f</w:t>
      </w:r>
      <w:r w:rsidR="0075188A" w:rsidRPr="0075188A">
        <w:t xml:space="preserve">ormuler des recommandations pour une meilleure poursuite du processus vers </w:t>
      </w:r>
      <w:r>
        <w:t>l'argumentaire</w:t>
      </w:r>
      <w:r w:rsidR="003B30BA">
        <w:t xml:space="preserve"> et</w:t>
      </w:r>
      <w:r w:rsidR="002B6037">
        <w:t xml:space="preserve"> </w:t>
      </w:r>
      <w:r w:rsidR="0075188A" w:rsidRPr="0075188A">
        <w:t>la déclaration politique sur le bénéfice du dividende démographique.</w:t>
      </w:r>
    </w:p>
    <w:p w:rsidR="00A703E6" w:rsidRDefault="0075188A">
      <w:pPr>
        <w:pStyle w:val="Titre1"/>
        <w:numPr>
          <w:ilvl w:val="0"/>
          <w:numId w:val="74"/>
        </w:numPr>
        <w:spacing w:before="240" w:after="0"/>
        <w:jc w:val="both"/>
        <w:rPr>
          <w:rFonts w:ascii="Times New Roman" w:hAnsi="Times New Roman" w:cs="Times New Roman"/>
        </w:rPr>
      </w:pPr>
      <w:bookmarkStart w:id="19" w:name="_Toc474777042"/>
      <w:bookmarkStart w:id="20" w:name="_Toc479009913"/>
      <w:r w:rsidRPr="0075188A">
        <w:rPr>
          <w:rFonts w:ascii="Times New Roman" w:hAnsi="Times New Roman" w:cs="Times New Roman"/>
        </w:rPr>
        <w:t>Méthodologie</w:t>
      </w:r>
      <w:bookmarkEnd w:id="19"/>
      <w:bookmarkEnd w:id="20"/>
    </w:p>
    <w:p w:rsidR="00E71C9F" w:rsidRDefault="00524960" w:rsidP="00A623A6">
      <w:pPr>
        <w:tabs>
          <w:tab w:val="left" w:pos="5355"/>
        </w:tabs>
        <w:spacing w:before="240" w:line="276" w:lineRule="auto"/>
        <w:jc w:val="both"/>
        <w:rPr>
          <w:bCs/>
        </w:rPr>
      </w:pPr>
      <w:r>
        <w:rPr>
          <w:bCs/>
        </w:rPr>
        <w:t>La</w:t>
      </w:r>
      <w:r w:rsidR="0075188A" w:rsidRPr="0075188A">
        <w:rPr>
          <w:bCs/>
        </w:rPr>
        <w:t xml:space="preserve"> modélisation du dividende démographique a été un processus participatif. </w:t>
      </w:r>
      <w:r>
        <w:rPr>
          <w:bCs/>
        </w:rPr>
        <w:t>Des ateliers ont été organisés avec les institutions nationales</w:t>
      </w:r>
      <w:r w:rsidR="00395BB5">
        <w:rPr>
          <w:bCs/>
        </w:rPr>
        <w:t xml:space="preserve"> (ministères sectoriels, BUCREP, INS, FNE</w:t>
      </w:r>
      <w:r w:rsidR="00AB3DB8">
        <w:rPr>
          <w:bCs/>
        </w:rPr>
        <w:t>, etc.</w:t>
      </w:r>
      <w:r w:rsidR="00395BB5">
        <w:rPr>
          <w:bCs/>
        </w:rPr>
        <w:t>)</w:t>
      </w:r>
      <w:r>
        <w:rPr>
          <w:bCs/>
        </w:rPr>
        <w:t xml:space="preserve"> et internationales</w:t>
      </w:r>
      <w:r w:rsidR="00395BB5">
        <w:rPr>
          <w:bCs/>
        </w:rPr>
        <w:t xml:space="preserve"> (UNFPA, UNICEF, Banque </w:t>
      </w:r>
      <w:r w:rsidR="00AB3DB8">
        <w:rPr>
          <w:bCs/>
        </w:rPr>
        <w:t>m</w:t>
      </w:r>
      <w:r w:rsidR="00395BB5">
        <w:rPr>
          <w:bCs/>
        </w:rPr>
        <w:t>ondiale, OIT, UNESCO</w:t>
      </w:r>
      <w:r w:rsidR="003F63C1">
        <w:rPr>
          <w:bCs/>
        </w:rPr>
        <w:t xml:space="preserve">, etc.) </w:t>
      </w:r>
      <w:r>
        <w:rPr>
          <w:bCs/>
        </w:rPr>
        <w:t xml:space="preserve">pour (1) </w:t>
      </w:r>
      <w:r w:rsidR="00B36843">
        <w:rPr>
          <w:bCs/>
        </w:rPr>
        <w:t xml:space="preserve">prendre connaissance </w:t>
      </w:r>
      <w:r>
        <w:rPr>
          <w:bCs/>
        </w:rPr>
        <w:t>des indicateurs, (2) valider les données collectées et (3) réaliser la modélisation sur la base des données disponibles</w:t>
      </w:r>
      <w:r w:rsidR="00395BB5">
        <w:rPr>
          <w:bCs/>
        </w:rPr>
        <w:t xml:space="preserve"> et les modèles décrits ci-après</w:t>
      </w:r>
      <w:r>
        <w:rPr>
          <w:bCs/>
        </w:rPr>
        <w:t>.</w:t>
      </w:r>
    </w:p>
    <w:p w:rsidR="00E71C9F" w:rsidRPr="00191178" w:rsidRDefault="0075188A" w:rsidP="00031E04">
      <w:pPr>
        <w:pStyle w:val="Paragraphedeliste"/>
        <w:numPr>
          <w:ilvl w:val="1"/>
          <w:numId w:val="76"/>
        </w:numPr>
        <w:tabs>
          <w:tab w:val="left" w:pos="5355"/>
        </w:tabs>
        <w:spacing w:before="120" w:line="276" w:lineRule="auto"/>
        <w:jc w:val="both"/>
        <w:outlineLvl w:val="1"/>
        <w:rPr>
          <w:b/>
          <w:bCs/>
        </w:rPr>
      </w:pPr>
      <w:bookmarkStart w:id="21" w:name="_Toc479009914"/>
      <w:r w:rsidRPr="00191178">
        <w:rPr>
          <w:b/>
          <w:bCs/>
        </w:rPr>
        <w:t>Modèle et estimation du dividende démographique</w:t>
      </w:r>
      <w:bookmarkEnd w:id="21"/>
    </w:p>
    <w:p w:rsidR="00E71C9F" w:rsidRDefault="0075188A">
      <w:pPr>
        <w:spacing w:before="120" w:line="276" w:lineRule="auto"/>
        <w:jc w:val="both"/>
        <w:rPr>
          <w:rFonts w:ascii="Tw Cen MT" w:hAnsi="Tw Cen MT" w:cs="Tw Cen MT"/>
        </w:rPr>
      </w:pPr>
      <w:r w:rsidRPr="0075188A">
        <w:t xml:space="preserve">Le modèle DemDiv est constitué de deux sous-modèles : un sous-modèle démographique et un sous-modèle économique </w:t>
      </w:r>
      <w:r w:rsidR="001B585D" w:rsidRPr="0075188A">
        <w:fldChar w:fldCharType="begin"/>
      </w:r>
      <w:r w:rsidRPr="0075188A">
        <w:instrText xml:space="preserve"> ADDIN EN.CITE &lt;EndNote&gt;&lt;Cite&gt;&lt;Author&gt;Moreland&lt;/Author&gt;&lt;Year&gt;2014&lt;/Year&gt;&lt;RecNum&gt;1650&lt;/RecNum&gt;&lt;DisplayText&gt;(Moreland et al., 2014)&lt;/DisplayText&gt;&lt;record&gt;&lt;rec-number&gt;1650&lt;/rec-number&gt;&lt;foreign-keys&gt;&lt;key app="EN" db-id="rp90rxe0lfwt04ewwrups2vqpf2xffxfw022" timestamp="1479140110"&gt;1650&lt;/key&gt;&lt;/foreign-keys&gt;&lt;ref-type name="Report"&gt;27&lt;/ref-type&gt;&lt;contributors&gt;&lt;authors&gt;&lt;author&gt;Moreland, S.&lt;/author&gt;&lt;author&gt;Madsen, B. K.&lt;/author&gt;&lt;author&gt;Hamilton, M.&lt;/author&gt;&lt;author&gt;Jurczynska, K.&lt;/author&gt;&lt;/authors&gt;&lt;/contributors&gt;&lt;titles&gt;&lt;title&gt;Modeling the demographic dividend: Technical guide to the DemDiv model&lt;/title&gt;&lt;/titles&gt;&lt;pages&gt;35&lt;/pages&gt;&lt;dates&gt;&lt;year&gt;2014&lt;/year&gt;&lt;/dates&gt;&lt;pub-location&gt;Pennsylvania&lt;/pub-location&gt;&lt;publisher&gt;Futures Group&lt;/publisher&gt;&lt;urls&gt;&lt;/urls&gt;&lt;/record&gt;&lt;/Cite&gt;&lt;/EndNote&gt;</w:instrText>
      </w:r>
      <w:r w:rsidR="001B585D" w:rsidRPr="0075188A">
        <w:fldChar w:fldCharType="separate"/>
      </w:r>
      <w:r w:rsidRPr="0075188A">
        <w:rPr>
          <w:noProof/>
        </w:rPr>
        <w:t>(</w:t>
      </w:r>
      <w:hyperlink w:anchor="_ENREF_30" w:tooltip="Moreland, 2014 #1650" w:history="1">
        <w:r w:rsidRPr="0075188A">
          <w:rPr>
            <w:noProof/>
          </w:rPr>
          <w:t>Moreland et al., 2014</w:t>
        </w:r>
      </w:hyperlink>
      <w:r w:rsidRPr="0075188A">
        <w:rPr>
          <w:noProof/>
        </w:rPr>
        <w:t>)</w:t>
      </w:r>
      <w:r w:rsidR="001B585D" w:rsidRPr="0075188A">
        <w:fldChar w:fldCharType="end"/>
      </w:r>
      <w:r w:rsidRPr="0075188A">
        <w:t xml:space="preserve">. Les deux sous-modèles sont imbriqués et interagissent l’un avec l’autre, afin d’appréhender les transformations tant démographiques qu’économiques, induites par les changements </w:t>
      </w:r>
      <w:r w:rsidR="000975FB">
        <w:t xml:space="preserve">de </w:t>
      </w:r>
      <w:r w:rsidRPr="0075188A">
        <w:t xml:space="preserve">la structure par âge, pour stimuler la croissance économique. Les sorties du sous-modèle démographique sont des entrées pour le sous-modèle économique. Des régressions linéaires multivariées ont été utilisées </w:t>
      </w:r>
      <w:r w:rsidR="000975FB">
        <w:t>pour</w:t>
      </w:r>
      <w:r w:rsidRPr="0075188A">
        <w:t xml:space="preserve"> mesurer les relations entre </w:t>
      </w:r>
      <w:r w:rsidR="000975FB">
        <w:t>les variables</w:t>
      </w:r>
      <w:r w:rsidRPr="0075188A">
        <w:t xml:space="preserve"> démographi</w:t>
      </w:r>
      <w:r w:rsidR="00EA616F">
        <w:t>qu</w:t>
      </w:r>
      <w:r w:rsidRPr="0075188A">
        <w:t>e</w:t>
      </w:r>
      <w:r w:rsidR="000975FB">
        <w:t>s</w:t>
      </w:r>
      <w:r w:rsidRPr="0075188A">
        <w:t xml:space="preserve"> et </w:t>
      </w:r>
      <w:r w:rsidR="000975FB">
        <w:t xml:space="preserve">celles </w:t>
      </w:r>
      <w:r w:rsidRPr="0075188A">
        <w:t>économi</w:t>
      </w:r>
      <w:r w:rsidR="000975FB">
        <w:t>qu</w:t>
      </w:r>
      <w:r w:rsidRPr="0075188A">
        <w:t>e</w:t>
      </w:r>
      <w:r w:rsidR="000975FB">
        <w:t>s</w:t>
      </w:r>
      <w:r w:rsidRPr="0075188A">
        <w:t>.</w:t>
      </w:r>
    </w:p>
    <w:p w:rsidR="00E71C9F" w:rsidRDefault="0075188A" w:rsidP="00031E04">
      <w:pPr>
        <w:pStyle w:val="Paragraphedeliste"/>
        <w:numPr>
          <w:ilvl w:val="2"/>
          <w:numId w:val="77"/>
        </w:numPr>
        <w:spacing w:before="120" w:line="276" w:lineRule="auto"/>
        <w:jc w:val="both"/>
        <w:rPr>
          <w:b/>
          <w:bCs/>
        </w:rPr>
      </w:pPr>
      <w:r w:rsidRPr="0075188A">
        <w:rPr>
          <w:b/>
          <w:bCs/>
        </w:rPr>
        <w:t>Sous-modèle démographique du DemDiv</w:t>
      </w:r>
    </w:p>
    <w:p w:rsidR="00E71C9F" w:rsidRDefault="0075188A">
      <w:pPr>
        <w:spacing w:before="120" w:line="276" w:lineRule="auto"/>
        <w:jc w:val="both"/>
      </w:pPr>
      <w:r w:rsidRPr="0075188A">
        <w:t xml:space="preserve">Le sous-modèle démographique </w:t>
      </w:r>
      <w:r w:rsidR="008F7A0A">
        <w:t>vise à expliquer les changements de la variable population</w:t>
      </w:r>
      <w:r w:rsidR="00F44871">
        <w:t>,</w:t>
      </w:r>
      <w:r w:rsidR="008F7A0A">
        <w:t xml:space="preserve"> définie ici par la </w:t>
      </w:r>
      <w:r w:rsidR="008F7A0A" w:rsidRPr="001E3B8E">
        <w:t>structure par âge selon le sexe</w:t>
      </w:r>
      <w:r w:rsidR="00F44871">
        <w:t>,</w:t>
      </w:r>
      <w:r w:rsidR="00AD49CD">
        <w:t xml:space="preserve"> </w:t>
      </w:r>
      <w:r w:rsidR="00F44871">
        <w:t xml:space="preserve">à travers cinq </w:t>
      </w:r>
      <w:r w:rsidRPr="0075188A">
        <w:t xml:space="preserve">variables </w:t>
      </w:r>
      <w:r w:rsidR="00F44871">
        <w:t xml:space="preserve">explicatives </w:t>
      </w:r>
      <w:r w:rsidRPr="0075188A">
        <w:t>défini</w:t>
      </w:r>
      <w:r w:rsidR="00F44871">
        <w:t>e</w:t>
      </w:r>
      <w:r w:rsidRPr="0075188A">
        <w:t>s par leurs indicateurs</w:t>
      </w:r>
      <w:r w:rsidR="003B30BA">
        <w:t> </w:t>
      </w:r>
      <w:r w:rsidRPr="0075188A">
        <w:t xml:space="preserve">: (1) variable </w:t>
      </w:r>
      <w:r w:rsidR="003C620D">
        <w:t>santé</w:t>
      </w:r>
      <w:r w:rsidRPr="0075188A">
        <w:t xml:space="preserve"> (</w:t>
      </w:r>
      <w:r w:rsidR="008D4AE8" w:rsidRPr="00565336">
        <w:t xml:space="preserve">espérance de vie </w:t>
      </w:r>
      <w:r w:rsidR="00AB3DB8">
        <w:t xml:space="preserve">des femmes </w:t>
      </w:r>
      <w:r w:rsidR="008D4AE8" w:rsidRPr="00565336">
        <w:t>à la naissance</w:t>
      </w:r>
      <w:r w:rsidR="00E60558">
        <w:t>) </w:t>
      </w:r>
      <w:r w:rsidR="00F44871">
        <w:t>; (2</w:t>
      </w:r>
      <w:r w:rsidRPr="0075188A">
        <w:t xml:space="preserve">) variable mortalité (taux de mortalité des enfants de moins 5 ans </w:t>
      </w:r>
      <w:r w:rsidR="00AB3DB8">
        <w:t>-</w:t>
      </w:r>
      <w:r w:rsidRPr="0075188A">
        <w:t>TMM5</w:t>
      </w:r>
      <w:r w:rsidR="00F44871">
        <w:t>), (3</w:t>
      </w:r>
      <w:r w:rsidRPr="0075188A">
        <w:t xml:space="preserve">) variable </w:t>
      </w:r>
      <w:r w:rsidR="003C620D">
        <w:t xml:space="preserve">natalité(naissance </w:t>
      </w:r>
      <w:r w:rsidRPr="0075188A">
        <w:t>à risque)</w:t>
      </w:r>
      <w:r w:rsidR="003C7E93">
        <w:t> </w:t>
      </w:r>
      <w:r w:rsidR="00F44871">
        <w:t>; (4</w:t>
      </w:r>
      <w:r w:rsidRPr="0075188A">
        <w:t xml:space="preserve">) variable fécondité (indice synthétique de fécondité </w:t>
      </w:r>
      <w:r w:rsidR="003C7E93">
        <w:t xml:space="preserve">- </w:t>
      </w:r>
      <w:r w:rsidRPr="0075188A">
        <w:t>ISF</w:t>
      </w:r>
      <w:r w:rsidR="00F44871">
        <w:t>)</w:t>
      </w:r>
      <w:r w:rsidR="003B30BA">
        <w:t> </w:t>
      </w:r>
      <w:r w:rsidR="00F44871">
        <w:t>; et (5</w:t>
      </w:r>
      <w:r w:rsidRPr="0075188A">
        <w:t xml:space="preserve">) variable </w:t>
      </w:r>
      <w:r w:rsidR="003C620D">
        <w:t>nuptialité (</w:t>
      </w:r>
      <w:r w:rsidRPr="0075188A">
        <w:t>mariage</w:t>
      </w:r>
      <w:r w:rsidR="003C620D">
        <w:t>)</w:t>
      </w:r>
      <w:r w:rsidR="00F44871">
        <w:t xml:space="preserve">(figure 1). </w:t>
      </w:r>
      <w:r w:rsidRPr="0075188A">
        <w:t xml:space="preserve">Ce sous-modèle sous-tend la structure du modèle global. Il prend </w:t>
      </w:r>
      <w:r w:rsidR="003C620D" w:rsidRPr="001E3B8E">
        <w:t xml:space="preserve">aussi </w:t>
      </w:r>
      <w:r w:rsidRPr="0075188A">
        <w:t>en compte quatre variables de contrôle</w:t>
      </w:r>
      <w:r w:rsidR="003B30BA">
        <w:t> </w:t>
      </w:r>
      <w:r w:rsidRPr="0075188A">
        <w:t xml:space="preserve">: une variable pour </w:t>
      </w:r>
      <w:r w:rsidR="003C620D">
        <w:t>la nuptialité</w:t>
      </w:r>
      <w:r w:rsidRPr="0075188A">
        <w:t xml:space="preserve"> (éducation), et trois </w:t>
      </w:r>
      <w:r w:rsidR="006E5980">
        <w:t>variables intermédiaire</w:t>
      </w:r>
      <w:r w:rsidR="00A07754">
        <w:t>s</w:t>
      </w:r>
      <w:r w:rsidR="006E5980">
        <w:t xml:space="preserve"> de </w:t>
      </w:r>
      <w:r w:rsidRPr="0075188A">
        <w:t>la fécondité (stérilité, insusceptibilité postpartum et contracepti</w:t>
      </w:r>
      <w:r w:rsidR="003C620D">
        <w:t>on</w:t>
      </w:r>
      <w:r w:rsidRPr="0075188A">
        <w:t>).</w:t>
      </w:r>
    </w:p>
    <w:p w:rsidR="00C51B6E" w:rsidRDefault="00C51B6E">
      <w:pPr>
        <w:rPr>
          <w:color w:val="000000"/>
        </w:rPr>
      </w:pPr>
      <w:bookmarkStart w:id="22" w:name="_Toc468082591"/>
      <w:r>
        <w:br w:type="page"/>
      </w:r>
    </w:p>
    <w:p w:rsidR="00A703E6" w:rsidRPr="00EC59CF" w:rsidRDefault="00116899" w:rsidP="00C51B6E">
      <w:pPr>
        <w:pStyle w:val="Lgende"/>
        <w:spacing w:before="240" w:after="100"/>
        <w:rPr>
          <w:bCs/>
        </w:rPr>
      </w:pPr>
      <w:bookmarkStart w:id="23" w:name="_Toc479007711"/>
      <w:r w:rsidRPr="00EC59CF">
        <w:lastRenderedPageBreak/>
        <w:t xml:space="preserve">Figure </w:t>
      </w:r>
      <w:fldSimple w:instr=" SEQ Figure \* ARABIC ">
        <w:r w:rsidR="00CE2B53">
          <w:rPr>
            <w:noProof/>
          </w:rPr>
          <w:t>1</w:t>
        </w:r>
      </w:fldSimple>
      <w:r w:rsidR="00866AA1" w:rsidRPr="00EC59CF">
        <w:t> </w:t>
      </w:r>
      <w:r w:rsidRPr="00EC59CF">
        <w:t>: Sous-modèle démographique (</w:t>
      </w:r>
      <w:proofErr w:type="spellStart"/>
      <w:r w:rsidRPr="00EC59CF">
        <w:t>Moreland</w:t>
      </w:r>
      <w:proofErr w:type="spellEnd"/>
      <w:r w:rsidRPr="00EC59CF">
        <w:t xml:space="preserve"> et </w:t>
      </w:r>
      <w:proofErr w:type="gramStart"/>
      <w:r w:rsidRPr="00EC59CF">
        <w:t>al.,</w:t>
      </w:r>
      <w:proofErr w:type="gramEnd"/>
      <w:r w:rsidRPr="00EC59CF">
        <w:t xml:space="preserve"> 2014).</w:t>
      </w:r>
      <w:bookmarkEnd w:id="23"/>
    </w:p>
    <w:bookmarkEnd w:id="22"/>
    <w:p w:rsidR="008E776A" w:rsidRDefault="008E776A" w:rsidP="008E776A">
      <w:pPr>
        <w:rPr>
          <w:i/>
          <w:iCs/>
          <w:noProof/>
          <w:sz w:val="20"/>
          <w:szCs w:val="20"/>
        </w:rPr>
      </w:pPr>
      <w:r>
        <w:rPr>
          <w:noProof/>
        </w:rPr>
        <w:drawing>
          <wp:inline distT="0" distB="0" distL="0" distR="0">
            <wp:extent cx="5475605" cy="3394710"/>
            <wp:effectExtent l="0" t="0" r="0" b="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744"/>
                    <a:stretch>
                      <a:fillRect/>
                    </a:stretch>
                  </pic:blipFill>
                  <pic:spPr bwMode="auto">
                    <a:xfrm>
                      <a:off x="0" y="0"/>
                      <a:ext cx="5475605" cy="3394710"/>
                    </a:xfrm>
                    <a:prstGeom prst="rect">
                      <a:avLst/>
                    </a:prstGeom>
                    <a:noFill/>
                    <a:ln>
                      <a:noFill/>
                    </a:ln>
                  </pic:spPr>
                </pic:pic>
              </a:graphicData>
            </a:graphic>
          </wp:inline>
        </w:drawing>
      </w:r>
    </w:p>
    <w:p w:rsidR="008E776A" w:rsidRDefault="0075188A" w:rsidP="008E776A">
      <w:pPr>
        <w:spacing w:before="240" w:line="276" w:lineRule="auto"/>
        <w:jc w:val="both"/>
      </w:pPr>
      <w:r w:rsidRPr="0075188A">
        <w:t xml:space="preserve">Le sous-modèle démographique estime prioritairement le nombre moyen d’enfants par femme pour une année donnée. Les autres sorties se résument, par année, au taux de dépendance, à l’indice synthétique de fécondité, à l’espérance de vie à la naissance des femmes, à la mortalité infantile, </w:t>
      </w:r>
      <w:r w:rsidR="000831CC">
        <w:t xml:space="preserve">à </w:t>
      </w:r>
      <w:r w:rsidRPr="0075188A">
        <w:t>la mortalité de</w:t>
      </w:r>
      <w:r w:rsidR="00A57430">
        <w:t>s</w:t>
      </w:r>
      <w:r w:rsidRPr="0075188A">
        <w:t xml:space="preserve"> enfants de moins de 5 ans, à la mortalité maternelle</w:t>
      </w:r>
      <w:r w:rsidR="006E5980">
        <w:t xml:space="preserve">, </w:t>
      </w:r>
      <w:r w:rsidR="000831CC">
        <w:t>et  au</w:t>
      </w:r>
      <w:r w:rsidR="006E5980">
        <w:t xml:space="preserve"> taux de prévalence contraceptive moderne</w:t>
      </w:r>
      <w:r w:rsidRPr="0075188A">
        <w:t>.</w:t>
      </w:r>
    </w:p>
    <w:p w:rsidR="00E71C9F" w:rsidRDefault="0075188A" w:rsidP="00031E04">
      <w:pPr>
        <w:pStyle w:val="Paragraphedeliste"/>
        <w:numPr>
          <w:ilvl w:val="2"/>
          <w:numId w:val="76"/>
        </w:numPr>
        <w:spacing w:before="120" w:line="276" w:lineRule="auto"/>
        <w:jc w:val="both"/>
        <w:rPr>
          <w:b/>
          <w:bCs/>
        </w:rPr>
      </w:pPr>
      <w:r w:rsidRPr="0075188A">
        <w:rPr>
          <w:b/>
          <w:bCs/>
        </w:rPr>
        <w:t>Sous-modèle économique du DemDiv</w:t>
      </w:r>
    </w:p>
    <w:p w:rsidR="00E71C9F" w:rsidRDefault="0075188A">
      <w:pPr>
        <w:spacing w:before="120" w:line="276" w:lineRule="auto"/>
        <w:jc w:val="both"/>
      </w:pPr>
      <w:r w:rsidRPr="0075188A">
        <w:t xml:space="preserve">Le modèle économique quant à lui vise à expliquer les changements dans le temps du produit intérieur brut (PIB), </w:t>
      </w:r>
      <w:r w:rsidR="00D07CE0">
        <w:t>à partir de</w:t>
      </w:r>
      <w:r w:rsidRPr="0075188A">
        <w:t xml:space="preserve"> trois variables de base</w:t>
      </w:r>
      <w:r w:rsidR="00AB3DB8">
        <w:t> </w:t>
      </w:r>
      <w:r w:rsidR="00D07CE0">
        <w:t xml:space="preserve">: </w:t>
      </w:r>
      <w:r w:rsidRPr="0075188A">
        <w:t xml:space="preserve">l'emploi, l'investissement et la productivité. </w:t>
      </w:r>
      <w:r w:rsidR="00D07CE0">
        <w:t>L</w:t>
      </w:r>
      <w:r w:rsidRPr="0075188A">
        <w:t>es variables</w:t>
      </w:r>
      <w:r w:rsidR="00D07CE0">
        <w:t xml:space="preserve"> de contrôle utilisées </w:t>
      </w:r>
      <w:r w:rsidR="00AE294E">
        <w:t>sont</w:t>
      </w:r>
      <w:r w:rsidR="00515CA0">
        <w:t> </w:t>
      </w:r>
      <w:r w:rsidR="00AE294E">
        <w:t xml:space="preserve">: </w:t>
      </w:r>
      <w:r w:rsidRPr="0075188A">
        <w:t>l’efficacité du marché financier, l’utilisation des technologies de l’information et de la communication</w:t>
      </w:r>
      <w:r w:rsidR="0058122E">
        <w:t xml:space="preserve"> (TIC)</w:t>
      </w:r>
      <w:r w:rsidRPr="0075188A">
        <w:t xml:space="preserve">, la gouvernance publique, les importations de biens et services, la flexibilité du marché du travail, </w:t>
      </w:r>
      <w:r w:rsidR="00AE294E">
        <w:t>l'</w:t>
      </w:r>
      <w:r w:rsidRPr="0075188A">
        <w:t xml:space="preserve">éducation </w:t>
      </w:r>
      <w:r w:rsidR="00AE294E">
        <w:t xml:space="preserve">et la </w:t>
      </w:r>
      <w:r w:rsidRPr="0075188A">
        <w:t>population (figure 2).</w:t>
      </w:r>
    </w:p>
    <w:p w:rsidR="00EC59CF" w:rsidRDefault="00EC59CF">
      <w:pPr>
        <w:pStyle w:val="Lgende"/>
        <w:spacing w:before="240"/>
      </w:pPr>
      <w:bookmarkStart w:id="24" w:name="_Toc468082592"/>
    </w:p>
    <w:p w:rsidR="00EC59CF" w:rsidRDefault="00EC59CF">
      <w:pPr>
        <w:pStyle w:val="Lgende"/>
        <w:spacing w:before="240"/>
      </w:pPr>
    </w:p>
    <w:p w:rsidR="00EC59CF" w:rsidRDefault="00EC59CF">
      <w:pPr>
        <w:pStyle w:val="Lgende"/>
        <w:spacing w:before="240"/>
      </w:pPr>
    </w:p>
    <w:p w:rsidR="00EC59CF" w:rsidRDefault="00EC59CF">
      <w:pPr>
        <w:pStyle w:val="Lgende"/>
        <w:spacing w:before="240"/>
      </w:pPr>
    </w:p>
    <w:p w:rsidR="00EC59CF" w:rsidRDefault="00EC59CF">
      <w:pPr>
        <w:pStyle w:val="Lgende"/>
        <w:spacing w:before="240"/>
      </w:pPr>
    </w:p>
    <w:p w:rsidR="00EC59CF" w:rsidRDefault="00EC59CF">
      <w:pPr>
        <w:pStyle w:val="Lgende"/>
        <w:spacing w:before="240"/>
      </w:pPr>
    </w:p>
    <w:p w:rsidR="00A703E6" w:rsidRPr="00EC59CF" w:rsidRDefault="00116899">
      <w:pPr>
        <w:pStyle w:val="Lgende"/>
        <w:spacing w:before="240"/>
        <w:rPr>
          <w:bCs/>
        </w:rPr>
      </w:pPr>
      <w:bookmarkStart w:id="25" w:name="_Toc479007712"/>
      <w:r w:rsidRPr="00EC59CF">
        <w:lastRenderedPageBreak/>
        <w:t xml:space="preserve">Figure </w:t>
      </w:r>
      <w:fldSimple w:instr=" SEQ Figure \* ARABIC ">
        <w:r w:rsidR="00CE2B53">
          <w:rPr>
            <w:noProof/>
          </w:rPr>
          <w:t>2</w:t>
        </w:r>
      </w:fldSimple>
      <w:r w:rsidR="00421E71" w:rsidRPr="00EC59CF">
        <w:t> </w:t>
      </w:r>
      <w:r w:rsidRPr="00EC59CF">
        <w:t>: Sous-modèle économique (</w:t>
      </w:r>
      <w:proofErr w:type="spellStart"/>
      <w:r w:rsidRPr="00EC59CF">
        <w:t>Moreland</w:t>
      </w:r>
      <w:proofErr w:type="spellEnd"/>
      <w:r w:rsidRPr="00EC59CF">
        <w:t xml:space="preserve"> et </w:t>
      </w:r>
      <w:proofErr w:type="gramStart"/>
      <w:r w:rsidRPr="00EC59CF">
        <w:t>al.,</w:t>
      </w:r>
      <w:proofErr w:type="gramEnd"/>
      <w:r w:rsidRPr="00EC59CF">
        <w:t xml:space="preserve"> 2014).</w:t>
      </w:r>
      <w:bookmarkEnd w:id="25"/>
    </w:p>
    <w:bookmarkEnd w:id="24"/>
    <w:p w:rsidR="008E776A" w:rsidRDefault="008E776A" w:rsidP="008E776A">
      <w:pPr>
        <w:spacing w:line="276" w:lineRule="auto"/>
        <w:rPr>
          <w:noProof/>
        </w:rPr>
      </w:pPr>
      <w:r>
        <w:rPr>
          <w:noProof/>
        </w:rPr>
        <w:drawing>
          <wp:inline distT="0" distB="0" distL="0" distR="0">
            <wp:extent cx="5454650" cy="2942590"/>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590"/>
                    <a:stretch>
                      <a:fillRect/>
                    </a:stretch>
                  </pic:blipFill>
                  <pic:spPr bwMode="auto">
                    <a:xfrm>
                      <a:off x="0" y="0"/>
                      <a:ext cx="5454650" cy="2942590"/>
                    </a:xfrm>
                    <a:prstGeom prst="rect">
                      <a:avLst/>
                    </a:prstGeom>
                    <a:noFill/>
                    <a:ln>
                      <a:noFill/>
                    </a:ln>
                  </pic:spPr>
                </pic:pic>
              </a:graphicData>
            </a:graphic>
          </wp:inline>
        </w:drawing>
      </w:r>
    </w:p>
    <w:p w:rsidR="00494A18" w:rsidRDefault="00494A18" w:rsidP="004366C2">
      <w:pPr>
        <w:tabs>
          <w:tab w:val="left" w:pos="5355"/>
        </w:tabs>
        <w:spacing w:before="360" w:line="276" w:lineRule="auto"/>
        <w:jc w:val="both"/>
      </w:pPr>
      <w:r w:rsidRPr="0075188A">
        <w:t>Dans le modèle global, les sous-modèles démographique et économique interagissent sur chaque projection annuelle pour mesurer l’effet multiplicateur de l’évolution de la structure par âge et du changement des variables économiques et sociales sur le produit intérieur brut (PIB), l’investissement et l’emploi au fil du temps. Il permet ainsi de déterminer le moment probable de l'ouverture de la fenêtre d'opportunité du dividende démographique.</w:t>
      </w:r>
    </w:p>
    <w:p w:rsidR="00FE05E9" w:rsidRPr="00FE05E9" w:rsidRDefault="00FE05E9" w:rsidP="00FE05E9">
      <w:pPr>
        <w:pStyle w:val="Titre2"/>
        <w:numPr>
          <w:ilvl w:val="1"/>
          <w:numId w:val="73"/>
        </w:numPr>
        <w:spacing w:before="120" w:afterAutospacing="0"/>
        <w:rPr>
          <w:bCs w:val="0"/>
          <w:sz w:val="24"/>
          <w:szCs w:val="24"/>
        </w:rPr>
      </w:pPr>
      <w:bookmarkStart w:id="26" w:name="_Toc479009915"/>
      <w:r w:rsidRPr="00FE05E9">
        <w:rPr>
          <w:bCs w:val="0"/>
          <w:sz w:val="24"/>
          <w:szCs w:val="24"/>
        </w:rPr>
        <w:t>Limites du modèle DemDiv et de l’approche du Dividende démographique</w:t>
      </w:r>
      <w:bookmarkEnd w:id="26"/>
    </w:p>
    <w:p w:rsidR="009618DD" w:rsidRDefault="00FE05E9" w:rsidP="009618DD">
      <w:pPr>
        <w:tabs>
          <w:tab w:val="left" w:pos="5355"/>
        </w:tabs>
        <w:spacing w:before="120" w:line="276" w:lineRule="auto"/>
        <w:jc w:val="both"/>
      </w:pPr>
      <w:r w:rsidRPr="00FE05E9">
        <w:t>L’une des principales faibles</w:t>
      </w:r>
      <w:r w:rsidR="00AF508F">
        <w:t>ses</w:t>
      </w:r>
      <w:r w:rsidRPr="00FE05E9">
        <w:t xml:space="preserve"> du modèle DemDiv est </w:t>
      </w:r>
      <w:r w:rsidR="0085101E">
        <w:t>l'absence de quantification</w:t>
      </w:r>
      <w:r w:rsidR="00BD7EF8">
        <w:t xml:space="preserve"> </w:t>
      </w:r>
      <w:r w:rsidR="0085101E">
        <w:t>d</w:t>
      </w:r>
      <w:r w:rsidRPr="00FE05E9">
        <w:t xml:space="preserve">es coûts des programmes à mettre en place pour assurer les investissements multisectoriels. </w:t>
      </w:r>
      <w:r w:rsidR="00CC7AA0">
        <w:t>Outre cette</w:t>
      </w:r>
      <w:r w:rsidR="00BD7EF8">
        <w:t xml:space="preserve"> </w:t>
      </w:r>
      <w:r w:rsidRPr="00FE05E9">
        <w:t>faiblesse</w:t>
      </w:r>
      <w:r w:rsidR="00CC7AA0">
        <w:t>,</w:t>
      </w:r>
      <w:r w:rsidR="00BD7EF8">
        <w:t xml:space="preserve"> </w:t>
      </w:r>
      <w:r w:rsidR="00CC7AA0">
        <w:t>le</w:t>
      </w:r>
      <w:r w:rsidR="00BD7EF8">
        <w:t xml:space="preserve"> </w:t>
      </w:r>
      <w:r w:rsidRPr="00FE05E9">
        <w:t>modèle DemDiv</w:t>
      </w:r>
      <w:r w:rsidR="0085101E">
        <w:t xml:space="preserve">, comme tout modèle, est </w:t>
      </w:r>
      <w:r w:rsidR="00CC7AA0">
        <w:t xml:space="preserve">limité par la prise en compte uniquement </w:t>
      </w:r>
      <w:r w:rsidR="0085101E">
        <w:t xml:space="preserve">des variables </w:t>
      </w:r>
      <w:r w:rsidR="00CC7AA0">
        <w:t>liées à la</w:t>
      </w:r>
      <w:r w:rsidR="00BD7EF8">
        <w:t xml:space="preserve"> </w:t>
      </w:r>
      <w:r w:rsidRPr="00FE05E9">
        <w:t xml:space="preserve">santé, </w:t>
      </w:r>
      <w:r w:rsidR="00CC7AA0">
        <w:t>à l’</w:t>
      </w:r>
      <w:r w:rsidRPr="00FE05E9">
        <w:t xml:space="preserve">éducation, </w:t>
      </w:r>
      <w:r w:rsidR="00CC7AA0">
        <w:t>à l’</w:t>
      </w:r>
      <w:r w:rsidRPr="00FE05E9">
        <w:t xml:space="preserve">économie et </w:t>
      </w:r>
      <w:r w:rsidR="00CC7AA0">
        <w:t xml:space="preserve">à la </w:t>
      </w:r>
      <w:r w:rsidRPr="00FE05E9">
        <w:t>gouvernance</w:t>
      </w:r>
      <w:r w:rsidRPr="004B51E1">
        <w:t xml:space="preserve">, </w:t>
      </w:r>
      <w:r w:rsidR="00116899" w:rsidRPr="00116899">
        <w:t>variables clés de tout développement d'un pays</w:t>
      </w:r>
      <w:r w:rsidR="00C51E14">
        <w:t xml:space="preserve">. </w:t>
      </w:r>
      <w:r w:rsidR="00BA4223">
        <w:t xml:space="preserve">Néanmoins, </w:t>
      </w:r>
      <w:r w:rsidR="00C51E14">
        <w:t xml:space="preserve">on sait que d'autres variables </w:t>
      </w:r>
      <w:r w:rsidRPr="00FE05E9">
        <w:t>tel</w:t>
      </w:r>
      <w:r w:rsidR="00C51E14">
        <w:t>les que l’e</w:t>
      </w:r>
      <w:r w:rsidRPr="00FE05E9">
        <w:t xml:space="preserve">au, hygiène et </w:t>
      </w:r>
      <w:r w:rsidR="00FF5013">
        <w:t>l’</w:t>
      </w:r>
      <w:r w:rsidRPr="00FE05E9">
        <w:t>assainissement (WA</w:t>
      </w:r>
      <w:r w:rsidR="00C51E14">
        <w:t>SH), les variables sociales</w:t>
      </w:r>
      <w:r w:rsidR="000B0F34">
        <w:t xml:space="preserve"> et l’énergie</w:t>
      </w:r>
      <w:r w:rsidR="00C51E14">
        <w:t xml:space="preserve"> contribuent aussi au développement. </w:t>
      </w:r>
      <w:r w:rsidRPr="00FE05E9">
        <w:t xml:space="preserve">Du point de vue méthodologique, une autre faiblesse du modèle DemDiv est qu’il ne fournit pas les décès maternels </w:t>
      </w:r>
      <w:r w:rsidR="00C51E14">
        <w:t>par</w:t>
      </w:r>
      <w:r w:rsidRPr="00FE05E9">
        <w:t xml:space="preserve"> année d’âge, mais plutôt par groupe d’âge quinquennal. Le modèle DemDiv repose également sur l’hypothèse d’une évolution linéaire des indicateurs au cours du temps, en recourant ainsi à la régression linéaire multiple. Alors que la réalité</w:t>
      </w:r>
      <w:r w:rsidR="00CC7AA0">
        <w:t xml:space="preserve"> est toute autre</w:t>
      </w:r>
      <w:r w:rsidRPr="00FE05E9">
        <w:t xml:space="preserve">, </w:t>
      </w:r>
      <w:r w:rsidR="00CC7AA0">
        <w:t>car rares sont les indicateurs qui évoluent de manière linéaire. Puisqu’u</w:t>
      </w:r>
      <w:r w:rsidRPr="00FE05E9">
        <w:t>n indicateur peut augmenter ou diminuer rapidement et se stabiliser.</w:t>
      </w:r>
      <w:r w:rsidR="00BD7EF8">
        <w:t xml:space="preserve"> </w:t>
      </w:r>
      <w:r w:rsidR="00452B74">
        <w:t>De</w:t>
      </w:r>
      <w:r w:rsidR="00452B74" w:rsidRPr="00FE05E9">
        <w:t xml:space="preserve"> plus, </w:t>
      </w:r>
      <w:r w:rsidR="00452B74">
        <w:t xml:space="preserve">les projections ne tiennent pas toujours compte de l'inertie des phénomènes démographiques qui concourent à la modification de la structure par âge d'une population. </w:t>
      </w:r>
      <w:r w:rsidR="007D4166" w:rsidRPr="007D4166">
        <w:t xml:space="preserve">Une autre limite du modèle DemDiv est qu’à la fin de la projection, on n’obtient pas directement l’évolution de la structure de la population par âge et selon </w:t>
      </w:r>
      <w:r w:rsidR="007D4166" w:rsidRPr="007D4166">
        <w:lastRenderedPageBreak/>
        <w:t>le sexe. Également, pour le PIB par tête, on n’obtient pas les valeurs en fin de projection.</w:t>
      </w:r>
      <w:r w:rsidR="00AD49CD">
        <w:t xml:space="preserve"> </w:t>
      </w:r>
      <w:r w:rsidR="00C51E14">
        <w:t>Enfin</w:t>
      </w:r>
      <w:r w:rsidR="00D46237">
        <w:t>,</w:t>
      </w:r>
      <w:r w:rsidR="00C51E14">
        <w:t xml:space="preserve"> u</w:t>
      </w:r>
      <w:r w:rsidRPr="00FE05E9">
        <w:t xml:space="preserve">n pays ne peut tirer pleinement profit du dividende démographique </w:t>
      </w:r>
      <w:r w:rsidR="00C51E14">
        <w:t>sans</w:t>
      </w:r>
      <w:r w:rsidR="00AD49CD">
        <w:t xml:space="preserve"> </w:t>
      </w:r>
      <w:r w:rsidR="00D46237">
        <w:t xml:space="preserve">la </w:t>
      </w:r>
      <w:r w:rsidRPr="00FE05E9">
        <w:t xml:space="preserve">promotion de la paix, </w:t>
      </w:r>
      <w:r w:rsidR="008A54D7">
        <w:t xml:space="preserve">de </w:t>
      </w:r>
      <w:r w:rsidRPr="00FE05E9">
        <w:t xml:space="preserve">la sécurité, </w:t>
      </w:r>
      <w:r w:rsidR="008A54D7">
        <w:t xml:space="preserve">de </w:t>
      </w:r>
      <w:r w:rsidRPr="00FE05E9">
        <w:t xml:space="preserve">la stabilité et </w:t>
      </w:r>
      <w:r w:rsidR="00C51E14">
        <w:t xml:space="preserve">de </w:t>
      </w:r>
      <w:r w:rsidRPr="00FE05E9">
        <w:t>la bonne gouvernance.</w:t>
      </w:r>
      <w:bookmarkStart w:id="27" w:name="_Toc310000709"/>
    </w:p>
    <w:p w:rsidR="00A27947" w:rsidRPr="005643FE" w:rsidRDefault="00943535" w:rsidP="00943535">
      <w:pPr>
        <w:tabs>
          <w:tab w:val="left" w:pos="1134"/>
        </w:tabs>
        <w:spacing w:before="120" w:line="276" w:lineRule="auto"/>
        <w:jc w:val="both"/>
        <w:outlineLvl w:val="1"/>
        <w:rPr>
          <w:b/>
          <w:color w:val="000000"/>
        </w:rPr>
      </w:pPr>
      <w:bookmarkStart w:id="28" w:name="_Toc479009916"/>
      <w:r w:rsidRPr="005643FE">
        <w:rPr>
          <w:b/>
          <w:color w:val="000000"/>
        </w:rPr>
        <w:t xml:space="preserve">3.3. </w:t>
      </w:r>
      <w:r w:rsidR="00673DBC" w:rsidRPr="005643FE">
        <w:rPr>
          <w:b/>
          <w:color w:val="000000"/>
        </w:rPr>
        <w:t>Cadre d'analyse</w:t>
      </w:r>
      <w:bookmarkEnd w:id="27"/>
      <w:bookmarkEnd w:id="28"/>
    </w:p>
    <w:p w:rsidR="00A703E6" w:rsidRDefault="00D24D6D">
      <w:pPr>
        <w:spacing w:before="120" w:line="276" w:lineRule="auto"/>
        <w:jc w:val="both"/>
        <w:rPr>
          <w:bCs/>
        </w:rPr>
      </w:pPr>
      <w:r w:rsidRPr="00D24D6D">
        <w:rPr>
          <w:bCs/>
        </w:rPr>
        <w:t>La valeur d'un modèle ne tient qu</w:t>
      </w:r>
      <w:r w:rsidR="00702FAE">
        <w:rPr>
          <w:bCs/>
        </w:rPr>
        <w:t xml:space="preserve">’à </w:t>
      </w:r>
      <w:r w:rsidRPr="00D24D6D">
        <w:rPr>
          <w:bCs/>
        </w:rPr>
        <w:t>la crédibilité de ses hypothèses</w:t>
      </w:r>
      <w:r w:rsidR="003538FA">
        <w:rPr>
          <w:bCs/>
        </w:rPr>
        <w:t xml:space="preserve"> elles-mêmes </w:t>
      </w:r>
      <w:r w:rsidR="00456F49">
        <w:rPr>
          <w:bCs/>
        </w:rPr>
        <w:t xml:space="preserve">reposant sur </w:t>
      </w:r>
      <w:r w:rsidR="003538FA">
        <w:rPr>
          <w:bCs/>
        </w:rPr>
        <w:t>une bonne analyse de la situation passée et présente du contexte d'étude</w:t>
      </w:r>
      <w:r w:rsidRPr="00D24D6D">
        <w:rPr>
          <w:bCs/>
        </w:rPr>
        <w:t xml:space="preserve">. </w:t>
      </w:r>
      <w:r w:rsidR="00154296">
        <w:rPr>
          <w:bCs/>
        </w:rPr>
        <w:t>Elle</w:t>
      </w:r>
      <w:r w:rsidRPr="00D24D6D">
        <w:rPr>
          <w:bCs/>
        </w:rPr>
        <w:t xml:space="preserve"> dépend </w:t>
      </w:r>
      <w:r w:rsidR="003538FA">
        <w:rPr>
          <w:bCs/>
        </w:rPr>
        <w:t>enfin</w:t>
      </w:r>
      <w:r w:rsidRPr="00D24D6D">
        <w:rPr>
          <w:bCs/>
        </w:rPr>
        <w:t xml:space="preserve"> du choix des variables introduites dans le modèle.</w:t>
      </w:r>
      <w:r w:rsidR="00E72E4D">
        <w:rPr>
          <w:bCs/>
        </w:rPr>
        <w:t xml:space="preserve"> Les hypothèses et les analyses</w:t>
      </w:r>
      <w:r w:rsidR="00154296">
        <w:rPr>
          <w:bCs/>
        </w:rPr>
        <w:t xml:space="preserve"> retenu</w:t>
      </w:r>
      <w:r w:rsidR="003538FA">
        <w:rPr>
          <w:bCs/>
        </w:rPr>
        <w:t>e</w:t>
      </w:r>
      <w:r w:rsidR="00154296">
        <w:rPr>
          <w:bCs/>
        </w:rPr>
        <w:t>s par la suite</w:t>
      </w:r>
      <w:r w:rsidR="00E72E4D">
        <w:rPr>
          <w:bCs/>
        </w:rPr>
        <w:t xml:space="preserve"> porteront </w:t>
      </w:r>
      <w:r w:rsidR="00154296">
        <w:rPr>
          <w:bCs/>
        </w:rPr>
        <w:t xml:space="preserve">sur </w:t>
      </w:r>
      <w:r w:rsidR="00E72E4D">
        <w:rPr>
          <w:bCs/>
        </w:rPr>
        <w:t>des projections sur une période de 40 ans</w:t>
      </w:r>
      <w:r w:rsidR="003538FA">
        <w:rPr>
          <w:bCs/>
        </w:rPr>
        <w:t xml:space="preserve"> (retenue par le modèle)</w:t>
      </w:r>
      <w:r w:rsidR="00E72E4D">
        <w:rPr>
          <w:bCs/>
        </w:rPr>
        <w:t>, de 2010 à 2050</w:t>
      </w:r>
      <w:r w:rsidR="00E72E4D">
        <w:rPr>
          <w:rStyle w:val="Appelnotedebasdep"/>
          <w:bCs/>
        </w:rPr>
        <w:footnoteReference w:id="5"/>
      </w:r>
      <w:r w:rsidR="00707C37">
        <w:rPr>
          <w:bCs/>
        </w:rPr>
        <w:t xml:space="preserve"> ainsi que sur les quatre variables ci-après</w:t>
      </w:r>
      <w:r w:rsidR="00FF5013">
        <w:rPr>
          <w:bCs/>
        </w:rPr>
        <w:t> </w:t>
      </w:r>
      <w:r w:rsidR="00707C37">
        <w:rPr>
          <w:bCs/>
        </w:rPr>
        <w:t xml:space="preserve">: </w:t>
      </w:r>
      <w:r w:rsidR="00707C37" w:rsidRPr="00D24D6D">
        <w:t>l'économie, l'éducation</w:t>
      </w:r>
      <w:r w:rsidR="00707C37">
        <w:t>, la gouvernance</w:t>
      </w:r>
      <w:r w:rsidR="00707C37" w:rsidRPr="00D24D6D">
        <w:t xml:space="preserve"> et la santé</w:t>
      </w:r>
      <w:r w:rsidR="004B51E1">
        <w:t xml:space="preserve"> (figure 3)</w:t>
      </w:r>
      <w:r w:rsidR="00E72E4D">
        <w:rPr>
          <w:bCs/>
        </w:rPr>
        <w:t>.</w:t>
      </w:r>
    </w:p>
    <w:p w:rsidR="00A703E6" w:rsidRDefault="00866AA1">
      <w:pPr>
        <w:pStyle w:val="Lgende"/>
        <w:spacing w:before="240"/>
        <w:rPr>
          <w:b/>
        </w:rPr>
      </w:pPr>
      <w:bookmarkStart w:id="29" w:name="_Toc479007713"/>
      <w:r>
        <w:t xml:space="preserve">Figure </w:t>
      </w:r>
      <w:r w:rsidR="001B585D">
        <w:fldChar w:fldCharType="begin"/>
      </w:r>
      <w:r>
        <w:instrText xml:space="preserve"> SEQ Figure \* ARABIC </w:instrText>
      </w:r>
      <w:r w:rsidR="001B585D">
        <w:fldChar w:fldCharType="separate"/>
      </w:r>
      <w:r w:rsidR="00CE2B53">
        <w:rPr>
          <w:noProof/>
        </w:rPr>
        <w:t>3</w:t>
      </w:r>
      <w:r w:rsidR="001B585D">
        <w:fldChar w:fldCharType="end"/>
      </w:r>
      <w:r>
        <w:t xml:space="preserve">: </w:t>
      </w:r>
      <w:r w:rsidRPr="00A17A8A">
        <w:t>Variables clés pour transformer le bonus démographique en dividende démographique.</w:t>
      </w:r>
      <w:bookmarkEnd w:id="29"/>
    </w:p>
    <w:p w:rsidR="00EC7DCD" w:rsidRDefault="00EC7DCD" w:rsidP="00707C37">
      <w:pPr>
        <w:spacing w:before="120" w:line="276" w:lineRule="auto"/>
        <w:jc w:val="both"/>
      </w:pPr>
      <w:r w:rsidRPr="00EC7DCD">
        <w:rPr>
          <w:noProof/>
        </w:rPr>
        <w:drawing>
          <wp:inline distT="0" distB="0" distL="0" distR="0">
            <wp:extent cx="5399405" cy="3201986"/>
            <wp:effectExtent l="19050" t="0" r="0" b="0"/>
            <wp:docPr id="3" name="Image 134"/>
            <wp:cNvGraphicFramePr/>
            <a:graphic xmlns:a="http://schemas.openxmlformats.org/drawingml/2006/main">
              <a:graphicData uri="http://schemas.openxmlformats.org/drawingml/2006/picture">
                <pic:pic xmlns:pic="http://schemas.openxmlformats.org/drawingml/2006/picture">
                  <pic:nvPicPr>
                    <pic:cNvPr id="7" name="Picture 3"/>
                    <pic:cNvPicPr>
                      <a:picLocks noGrp="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9405" cy="3201986"/>
                    </a:xfrm>
                    <a:prstGeom prst="rect">
                      <a:avLst/>
                    </a:prstGeom>
                    <a:noFill/>
                    <a:ln>
                      <a:noFill/>
                    </a:ln>
                  </pic:spPr>
                </pic:pic>
              </a:graphicData>
            </a:graphic>
          </wp:inline>
        </w:drawing>
      </w:r>
    </w:p>
    <w:p w:rsidR="000A2726" w:rsidRPr="003A6B9D" w:rsidRDefault="00116899" w:rsidP="003A6B9D">
      <w:pPr>
        <w:spacing w:line="276" w:lineRule="auto"/>
        <w:jc w:val="both"/>
        <w:rPr>
          <w:sz w:val="22"/>
          <w:szCs w:val="22"/>
        </w:rPr>
      </w:pPr>
      <w:r w:rsidRPr="00116899">
        <w:rPr>
          <w:sz w:val="22"/>
          <w:szCs w:val="22"/>
          <w:u w:val="single"/>
        </w:rPr>
        <w:t>Source</w:t>
      </w:r>
      <w:r w:rsidR="000A2726" w:rsidRPr="003A6B9D">
        <w:rPr>
          <w:sz w:val="22"/>
          <w:szCs w:val="22"/>
        </w:rPr>
        <w:t xml:space="preserve"> : </w:t>
      </w:r>
      <w:proofErr w:type="spellStart"/>
      <w:r w:rsidRPr="002F03FD">
        <w:rPr>
          <w:sz w:val="22"/>
          <w:szCs w:val="22"/>
          <w:lang w:val="fr-CA"/>
        </w:rPr>
        <w:t>Gribble</w:t>
      </w:r>
      <w:proofErr w:type="spellEnd"/>
      <w:r w:rsidRPr="002F03FD">
        <w:rPr>
          <w:sz w:val="22"/>
          <w:szCs w:val="22"/>
          <w:lang w:val="fr-CA"/>
        </w:rPr>
        <w:t xml:space="preserve"> J. N. </w:t>
      </w:r>
      <w:r w:rsidRPr="00A94B37">
        <w:rPr>
          <w:sz w:val="22"/>
          <w:szCs w:val="22"/>
        </w:rPr>
        <w:t xml:space="preserve">et </w:t>
      </w:r>
      <w:proofErr w:type="spellStart"/>
      <w:r w:rsidRPr="00A94B37">
        <w:t>Bremner</w:t>
      </w:r>
      <w:proofErr w:type="spellEnd"/>
      <w:r w:rsidRPr="00A94B37">
        <w:rPr>
          <w:sz w:val="22"/>
          <w:szCs w:val="22"/>
        </w:rPr>
        <w:t xml:space="preserve"> J., 2012.</w:t>
      </w:r>
    </w:p>
    <w:p w:rsidR="00C906CF" w:rsidRDefault="000A2726" w:rsidP="00C906CF">
      <w:pPr>
        <w:spacing w:before="240" w:line="276" w:lineRule="auto"/>
        <w:jc w:val="both"/>
      </w:pPr>
      <w:r>
        <w:t>En effet, des études antérieures ont montré que des interventions politiques sur ces quatre variables</w:t>
      </w:r>
      <w:r w:rsidR="006832F1">
        <w:t xml:space="preserve"> associées à </w:t>
      </w:r>
      <w:r w:rsidR="006832F1" w:rsidRPr="006832F1">
        <w:t>des actions volontaristes et efficaces peuvent</w:t>
      </w:r>
      <w:r w:rsidRPr="006832F1">
        <w:t xml:space="preserve"> facilite</w:t>
      </w:r>
      <w:r w:rsidR="006832F1" w:rsidRPr="006832F1">
        <w:t>r</w:t>
      </w:r>
      <w:r w:rsidRPr="006832F1">
        <w:t xml:space="preserve"> la capture du dividende démographique (</w:t>
      </w:r>
      <w:r w:rsidR="006832F1" w:rsidRPr="006832F1">
        <w:t xml:space="preserve">Bloom et </w:t>
      </w:r>
      <w:proofErr w:type="gramStart"/>
      <w:r w:rsidR="006832F1" w:rsidRPr="006832F1">
        <w:t>al.</w:t>
      </w:r>
      <w:r w:rsidR="00B90AC8">
        <w:t>,</w:t>
      </w:r>
      <w:proofErr w:type="gramEnd"/>
      <w:r w:rsidR="006832F1" w:rsidRPr="006832F1">
        <w:t xml:space="preserve"> 2003</w:t>
      </w:r>
      <w:r w:rsidR="00FF5013">
        <w:t> </w:t>
      </w:r>
      <w:r w:rsidR="006832F1" w:rsidRPr="006832F1">
        <w:t>;</w:t>
      </w:r>
      <w:proofErr w:type="spellStart"/>
      <w:r w:rsidR="007A247C" w:rsidRPr="002F03FD">
        <w:rPr>
          <w:lang w:val="fr-CA"/>
        </w:rPr>
        <w:t>Gribble</w:t>
      </w:r>
      <w:proofErr w:type="spellEnd"/>
      <w:r w:rsidR="007A247C" w:rsidRPr="002F03FD">
        <w:rPr>
          <w:lang w:val="fr-CA"/>
        </w:rPr>
        <w:t xml:space="preserve"> </w:t>
      </w:r>
      <w:r w:rsidR="00B90AC8">
        <w:t xml:space="preserve">et </w:t>
      </w:r>
      <w:proofErr w:type="spellStart"/>
      <w:r w:rsidR="007A247C" w:rsidRPr="007A247C">
        <w:t>Bremner</w:t>
      </w:r>
      <w:proofErr w:type="spellEnd"/>
      <w:r w:rsidR="006832F1">
        <w:rPr>
          <w:sz w:val="22"/>
          <w:szCs w:val="22"/>
        </w:rPr>
        <w:t>,</w:t>
      </w:r>
      <w:r w:rsidR="006832F1">
        <w:t xml:space="preserve"> 2012</w:t>
      </w:r>
      <w:r w:rsidR="00AB3DB8">
        <w:t> </w:t>
      </w:r>
      <w:r w:rsidR="006832F1">
        <w:t>;</w:t>
      </w:r>
      <w:r>
        <w:t xml:space="preserve"> Guengant, 2014). La modélisation du dividende démographique </w:t>
      </w:r>
      <w:r w:rsidR="009618DD" w:rsidRPr="009618DD">
        <w:t>appliquée par la suite permettra de vérifier si le même processus reste valable aussi pour le Cameroun.</w:t>
      </w:r>
    </w:p>
    <w:p w:rsidR="00C906CF" w:rsidRDefault="00C906CF" w:rsidP="008C0688"/>
    <w:p w:rsidR="00C906CF" w:rsidRDefault="00C906CF" w:rsidP="008C0688"/>
    <w:p w:rsidR="00C906CF" w:rsidRDefault="00C906CF" w:rsidP="008C0688"/>
    <w:p w:rsidR="00C906CF" w:rsidRDefault="00C906CF" w:rsidP="008C0688"/>
    <w:p w:rsidR="000A2726" w:rsidRDefault="008C0688" w:rsidP="008C0688">
      <w:r>
        <w:br w:type="page"/>
      </w:r>
    </w:p>
    <w:p w:rsidR="009618DD" w:rsidRPr="009618DD" w:rsidRDefault="009618DD" w:rsidP="00031E04">
      <w:pPr>
        <w:pStyle w:val="Paragraphedeliste"/>
        <w:numPr>
          <w:ilvl w:val="1"/>
          <w:numId w:val="83"/>
        </w:numPr>
        <w:spacing w:before="120" w:line="276" w:lineRule="auto"/>
        <w:jc w:val="both"/>
        <w:outlineLvl w:val="1"/>
        <w:rPr>
          <w:b/>
        </w:rPr>
      </w:pPr>
      <w:bookmarkStart w:id="30" w:name="_Toc479009917"/>
      <w:r w:rsidRPr="009618DD">
        <w:rPr>
          <w:b/>
        </w:rPr>
        <w:lastRenderedPageBreak/>
        <w:t>Modèles d'analyse</w:t>
      </w:r>
      <w:bookmarkEnd w:id="30"/>
    </w:p>
    <w:p w:rsidR="00707C37" w:rsidRDefault="00D24D6D" w:rsidP="00707C37">
      <w:pPr>
        <w:spacing w:before="120" w:line="276" w:lineRule="auto"/>
        <w:jc w:val="both"/>
      </w:pPr>
      <w:r w:rsidRPr="00D24D6D">
        <w:t>Quatre modèles d'analyses (ou scenarii) seront utilisés dans le cadre de cette étude sur la modélisation du dividende démographique au Cameroun.</w:t>
      </w:r>
    </w:p>
    <w:p w:rsidR="00DA7A17" w:rsidRDefault="00D24D6D" w:rsidP="00707C37">
      <w:pPr>
        <w:spacing w:before="120" w:line="276" w:lineRule="auto"/>
        <w:jc w:val="both"/>
      </w:pPr>
      <w:r w:rsidRPr="00D24D6D">
        <w:t>Modèle de base (</w:t>
      </w:r>
      <w:r w:rsidR="00515CA0">
        <w:t xml:space="preserve">M0 </w:t>
      </w:r>
      <w:r w:rsidR="00AB2C57">
        <w:t xml:space="preserve">ou </w:t>
      </w:r>
      <w:r w:rsidR="003538FA" w:rsidRPr="003538FA">
        <w:t xml:space="preserve">scenario </w:t>
      </w:r>
      <w:r w:rsidR="003538FA">
        <w:t>0</w:t>
      </w:r>
      <w:r w:rsidRPr="00D24D6D">
        <w:t>)</w:t>
      </w:r>
      <w:r w:rsidR="00AB3DB8">
        <w:t> </w:t>
      </w:r>
      <w:r w:rsidRPr="00D24D6D">
        <w:t xml:space="preserve">: pour ce premier modèle d'analyse </w:t>
      </w:r>
      <w:r w:rsidR="008E776A" w:rsidRPr="003538FA">
        <w:t>les hypothèses émises se</w:t>
      </w:r>
      <w:r w:rsidR="008E776A" w:rsidRPr="006B31A4">
        <w:t xml:space="preserve"> fondent sur le climat socio-économique </w:t>
      </w:r>
      <w:r w:rsidRPr="00D24D6D">
        <w:t>du moment.</w:t>
      </w:r>
      <w:r w:rsidR="00AD49CD">
        <w:t xml:space="preserve"> </w:t>
      </w:r>
      <w:r w:rsidRPr="00D24D6D">
        <w:t>L</w:t>
      </w:r>
      <w:r w:rsidR="008E776A" w:rsidRPr="006B31A4">
        <w:t xml:space="preserve">es indicateurs économiques, </w:t>
      </w:r>
      <w:r w:rsidRPr="00D24D6D">
        <w:t>d'éducation</w:t>
      </w:r>
      <w:r w:rsidR="00AD49CD">
        <w:t xml:space="preserve"> </w:t>
      </w:r>
      <w:r w:rsidR="008E776A" w:rsidRPr="006B31A4">
        <w:t xml:space="preserve">et de </w:t>
      </w:r>
      <w:r w:rsidRPr="00D24D6D">
        <w:t>santé</w:t>
      </w:r>
      <w:r w:rsidR="008E776A" w:rsidRPr="006B31A4">
        <w:t xml:space="preserve"> à l’année de base sont maintenus </w:t>
      </w:r>
      <w:r w:rsidRPr="00D24D6D">
        <w:t>fixes jusqu'à</w:t>
      </w:r>
      <w:r w:rsidR="00AD49CD">
        <w:t xml:space="preserve"> </w:t>
      </w:r>
      <w:r w:rsidR="008E776A" w:rsidRPr="006B31A4">
        <w:t>l’année de fin de</w:t>
      </w:r>
      <w:r w:rsidRPr="00D24D6D">
        <w:t xml:space="preserve"> la</w:t>
      </w:r>
      <w:r w:rsidR="008E776A" w:rsidRPr="006B31A4">
        <w:t xml:space="preserve"> projection. </w:t>
      </w:r>
      <w:r w:rsidRPr="00D24D6D">
        <w:t>Ce</w:t>
      </w:r>
      <w:r w:rsidR="00AD49CD">
        <w:t xml:space="preserve"> </w:t>
      </w:r>
      <w:r w:rsidRPr="00D24D6D">
        <w:t xml:space="preserve">modèle </w:t>
      </w:r>
      <w:r w:rsidR="008E776A" w:rsidRPr="006B31A4">
        <w:t>marque le statu quo.</w:t>
      </w:r>
    </w:p>
    <w:p w:rsidR="00A27947" w:rsidRDefault="00D24D6D" w:rsidP="008C0688">
      <w:pPr>
        <w:pStyle w:val="Paragraphedeliste"/>
        <w:numPr>
          <w:ilvl w:val="0"/>
          <w:numId w:val="78"/>
        </w:numPr>
        <w:spacing w:before="120" w:line="276" w:lineRule="auto"/>
        <w:jc w:val="both"/>
      </w:pPr>
      <w:r w:rsidRPr="00D24D6D">
        <w:t>Modèle 1 (M1</w:t>
      </w:r>
      <w:r w:rsidR="003538FA">
        <w:t xml:space="preserve"> ou </w:t>
      </w:r>
      <w:r w:rsidR="003538FA" w:rsidRPr="003538FA">
        <w:t>scenario 1</w:t>
      </w:r>
      <w:r w:rsidRPr="00D24D6D">
        <w:t>) ou modèle économique</w:t>
      </w:r>
      <w:r w:rsidR="00AB3DB8">
        <w:t> </w:t>
      </w:r>
      <w:r w:rsidRPr="00D24D6D">
        <w:t>: on</w:t>
      </w:r>
      <w:r w:rsidR="008E776A" w:rsidRPr="006B31A4">
        <w:t xml:space="preserve"> considère que seules les actions dans le domaine de l’économie ont été menées. Ainsi, toutes choses étant égales par ailleurs, seuls les indicateurs économiques varient</w:t>
      </w:r>
      <w:r w:rsidRPr="00D24D6D">
        <w:t>.</w:t>
      </w:r>
    </w:p>
    <w:p w:rsidR="00A27947" w:rsidRDefault="00D24D6D" w:rsidP="008C0688">
      <w:pPr>
        <w:pStyle w:val="Paragraphedeliste"/>
        <w:numPr>
          <w:ilvl w:val="0"/>
          <w:numId w:val="78"/>
        </w:numPr>
        <w:spacing w:before="120" w:line="276" w:lineRule="auto"/>
        <w:jc w:val="both"/>
      </w:pPr>
      <w:r w:rsidRPr="00D24D6D">
        <w:t>Modèle 2 (M2</w:t>
      </w:r>
      <w:r w:rsidR="003538FA">
        <w:t xml:space="preserve"> ou </w:t>
      </w:r>
      <w:r w:rsidR="003538FA" w:rsidRPr="003538FA">
        <w:t xml:space="preserve">scenario </w:t>
      </w:r>
      <w:r w:rsidR="003538FA">
        <w:t>2</w:t>
      </w:r>
      <w:r w:rsidRPr="00D24D6D">
        <w:t>) ou modèle économico-social</w:t>
      </w:r>
      <w:r w:rsidR="00AB3DB8">
        <w:t> </w:t>
      </w:r>
      <w:r w:rsidRPr="00D24D6D">
        <w:t xml:space="preserve">: </w:t>
      </w:r>
      <w:r w:rsidR="00BC1BA1">
        <w:t>on suppose que</w:t>
      </w:r>
      <w:r w:rsidRPr="00D24D6D">
        <w:t>,</w:t>
      </w:r>
      <w:r w:rsidR="008E776A" w:rsidRPr="006B31A4">
        <w:t xml:space="preserve"> du fait des actions conjointement menées dans les secteurs de l’économie et de l’éducation</w:t>
      </w:r>
      <w:r w:rsidRPr="00D24D6D">
        <w:t>,</w:t>
      </w:r>
      <w:r w:rsidR="008E776A" w:rsidRPr="006B31A4">
        <w:t xml:space="preserve"> seuls les indicateurs relatifs à l’économie et à l’éducation connaîtront des variations.</w:t>
      </w:r>
    </w:p>
    <w:p w:rsidR="00A27947" w:rsidRPr="00EC2E68" w:rsidRDefault="00D24D6D" w:rsidP="008C0688">
      <w:pPr>
        <w:pStyle w:val="Paragraphedeliste"/>
        <w:numPr>
          <w:ilvl w:val="0"/>
          <w:numId w:val="78"/>
        </w:numPr>
        <w:spacing w:before="120" w:line="276" w:lineRule="auto"/>
        <w:jc w:val="both"/>
        <w:rPr>
          <w:rFonts w:ascii="Tw Cen MT" w:hAnsi="Tw Cen MT" w:cs="Tw Cen MT"/>
        </w:rPr>
      </w:pPr>
      <w:r w:rsidRPr="00D24D6D">
        <w:t>Modèle 3 (M3</w:t>
      </w:r>
      <w:r w:rsidR="003538FA">
        <w:t xml:space="preserve"> ou </w:t>
      </w:r>
      <w:r w:rsidR="003538FA" w:rsidRPr="003538FA">
        <w:t xml:space="preserve">scenario </w:t>
      </w:r>
      <w:r w:rsidR="003538FA">
        <w:t>3</w:t>
      </w:r>
      <w:r w:rsidRPr="00D24D6D">
        <w:t xml:space="preserve">) ou modèle de l'émergence ou encore modèle </w:t>
      </w:r>
      <w:r w:rsidRPr="00D24D6D">
        <w:rPr>
          <w:bCs/>
          <w:iCs/>
        </w:rPr>
        <w:t>de l’atteinte du dividende démographique</w:t>
      </w:r>
      <w:r w:rsidRPr="00D24D6D">
        <w:t xml:space="preserve"> : </w:t>
      </w:r>
      <w:r w:rsidRPr="00D24D6D">
        <w:rPr>
          <w:bCs/>
          <w:iCs/>
        </w:rPr>
        <w:t>d</w:t>
      </w:r>
      <w:r w:rsidRPr="00D24D6D">
        <w:t>ans ce dernier modèle on</w:t>
      </w:r>
      <w:r w:rsidR="008E776A" w:rsidRPr="006B31A4">
        <w:t xml:space="preserve"> suppose que des actions combinées ont été menées</w:t>
      </w:r>
      <w:r w:rsidR="00BC1BA1">
        <w:t xml:space="preserve"> à la fois dans les domaines de l’économie, de l’éducation, de la santé et de la gouvernance. Ainsi, tous les indicateurs retenus connaîtront des variations </w:t>
      </w:r>
      <w:r w:rsidRPr="00D24D6D">
        <w:t>tout au long de la période</w:t>
      </w:r>
      <w:r w:rsidR="00AD49CD">
        <w:t xml:space="preserve"> </w:t>
      </w:r>
      <w:r w:rsidRPr="00D24D6D">
        <w:t xml:space="preserve">jusqu'à la dernière </w:t>
      </w:r>
      <w:r w:rsidR="008E776A" w:rsidRPr="006B31A4">
        <w:t>année de</w:t>
      </w:r>
      <w:r w:rsidRPr="00D24D6D">
        <w:t xml:space="preserve"> la</w:t>
      </w:r>
      <w:r w:rsidR="008E776A" w:rsidRPr="006B31A4">
        <w:t xml:space="preserve"> projection.</w:t>
      </w:r>
    </w:p>
    <w:p w:rsidR="00A27947" w:rsidRDefault="00D24D6D" w:rsidP="00031E04">
      <w:pPr>
        <w:pStyle w:val="Paragraphedeliste"/>
        <w:numPr>
          <w:ilvl w:val="0"/>
          <w:numId w:val="79"/>
        </w:numPr>
        <w:spacing w:before="240" w:line="276" w:lineRule="auto"/>
        <w:jc w:val="both"/>
        <w:outlineLvl w:val="0"/>
        <w:rPr>
          <w:b/>
          <w:bCs/>
        </w:rPr>
      </w:pPr>
      <w:bookmarkStart w:id="31" w:name="_Toc479009918"/>
      <w:r w:rsidRPr="00D24D6D">
        <w:rPr>
          <w:b/>
          <w:bCs/>
        </w:rPr>
        <w:t>Analyse de la situation et hypothèse</w:t>
      </w:r>
      <w:r w:rsidR="00112804">
        <w:rPr>
          <w:b/>
          <w:bCs/>
        </w:rPr>
        <w:t>s</w:t>
      </w:r>
      <w:bookmarkEnd w:id="31"/>
    </w:p>
    <w:p w:rsidR="00112804" w:rsidRDefault="000E67D9" w:rsidP="000043C9">
      <w:pPr>
        <w:spacing w:before="240" w:line="276" w:lineRule="auto"/>
        <w:jc w:val="both"/>
      </w:pPr>
      <w:r w:rsidRPr="0064767A">
        <w:rPr>
          <w:bCs/>
        </w:rPr>
        <w:t>La crédibilité d'une hypothèse découle</w:t>
      </w:r>
      <w:r w:rsidR="00154296" w:rsidRPr="0064767A">
        <w:rPr>
          <w:bCs/>
        </w:rPr>
        <w:t xml:space="preserve"> d'une bonne analyse de la situation qui prévaut</w:t>
      </w:r>
      <w:r w:rsidRPr="0064767A">
        <w:rPr>
          <w:bCs/>
        </w:rPr>
        <w:t xml:space="preserve">, du choix des variables et des tendances </w:t>
      </w:r>
      <w:r w:rsidR="00D907D5" w:rsidRPr="0064767A">
        <w:rPr>
          <w:bCs/>
        </w:rPr>
        <w:t>passées et projetées</w:t>
      </w:r>
      <w:r w:rsidRPr="0064767A">
        <w:rPr>
          <w:bCs/>
        </w:rPr>
        <w:t xml:space="preserve"> des indicateurs</w:t>
      </w:r>
      <w:r w:rsidR="00154296" w:rsidRPr="0064767A">
        <w:rPr>
          <w:bCs/>
        </w:rPr>
        <w:t xml:space="preserve">. </w:t>
      </w:r>
      <w:r w:rsidR="00D24D6D" w:rsidRPr="00D24D6D">
        <w:t>Dans cette étude, les hypothèses sont formulées au regard d’une part des évolutions passées des variables clés du dividende démographique</w:t>
      </w:r>
      <w:r w:rsidR="00D24D6D" w:rsidRPr="00D24D6D">
        <w:rPr>
          <w:rStyle w:val="Appelnotedebasdep"/>
        </w:rPr>
        <w:footnoteReference w:id="6"/>
      </w:r>
      <w:r w:rsidR="00D24D6D" w:rsidRPr="00D24D6D">
        <w:t xml:space="preserve">, et d’autre part, de l’engagement politique à faire du Cameroun un pays émergent à l’horizon 2035. </w:t>
      </w:r>
      <w:r w:rsidR="00E97F8A">
        <w:t>Les variables analysées par la suite sont globalement les variables clés des sous-modèles ainsi que leurs variables de contrôle. Elles sont regroupées suivant les différentes roues du dividende démographique.</w:t>
      </w:r>
    </w:p>
    <w:p w:rsidR="00DA7A17" w:rsidRPr="00EC2E68" w:rsidRDefault="000043C9" w:rsidP="00031E04">
      <w:pPr>
        <w:pStyle w:val="Paragraphedeliste"/>
        <w:numPr>
          <w:ilvl w:val="1"/>
          <w:numId w:val="81"/>
        </w:numPr>
        <w:spacing w:before="120" w:line="276" w:lineRule="auto"/>
        <w:ind w:left="1077"/>
        <w:jc w:val="both"/>
        <w:outlineLvl w:val="1"/>
      </w:pPr>
      <w:bookmarkStart w:id="32" w:name="_Toc479009919"/>
      <w:r>
        <w:rPr>
          <w:b/>
          <w:bCs/>
        </w:rPr>
        <w:t>Variables démographiques</w:t>
      </w:r>
      <w:bookmarkEnd w:id="32"/>
    </w:p>
    <w:p w:rsidR="00DA7A17" w:rsidRPr="00E97F8A" w:rsidRDefault="00DA7A17" w:rsidP="00031E04">
      <w:pPr>
        <w:pStyle w:val="Paragraphedeliste"/>
        <w:numPr>
          <w:ilvl w:val="2"/>
          <w:numId w:val="81"/>
        </w:numPr>
        <w:spacing w:before="120" w:line="276" w:lineRule="auto"/>
        <w:ind w:left="1077"/>
        <w:jc w:val="both"/>
        <w:rPr>
          <w:u w:val="single"/>
        </w:rPr>
      </w:pPr>
      <w:r w:rsidRPr="00E97F8A">
        <w:rPr>
          <w:u w:val="single"/>
        </w:rPr>
        <w:t>Croissance démographique</w:t>
      </w:r>
    </w:p>
    <w:p w:rsidR="00DA7A17" w:rsidRPr="00EC2E68" w:rsidRDefault="0064767A" w:rsidP="00E01500">
      <w:pPr>
        <w:spacing w:before="120" w:line="276" w:lineRule="auto"/>
        <w:jc w:val="both"/>
      </w:pPr>
      <w:r w:rsidRPr="00EC2E68">
        <w:t xml:space="preserve">La croissance démographique galopante et non contrôlée limite l’impact d’une croissance économique dans plusieurs régions du monde </w:t>
      </w:r>
      <w:r w:rsidR="001B585D" w:rsidRPr="00EC2E68">
        <w:fldChar w:fldCharType="begin"/>
      </w:r>
      <w:r w:rsidRPr="00EC2E68">
        <w:instrText xml:space="preserve"> ADDIN EN.CITE &lt;EndNote&gt;&lt;Cite&gt;&lt;Author&gt;Montgomery&lt;/Author&gt;&lt;Year&gt;2009&lt;/Year&gt;&lt;RecNum&gt;1310&lt;/RecNum&gt;&lt;DisplayText&gt;(Montgomery, 2009)&lt;/DisplayText&gt;&lt;record&gt;&lt;rec-number&gt;1310&lt;/rec-number&gt;&lt;foreign-keys&gt;&lt;key app="EN" db-id="rp90rxe0lfwt04ewwrups2vqpf2xffxfw022" timestamp="1415872103"&gt;1310&lt;/key&gt;&lt;/foreign-keys&gt;&lt;ref-type name="Magazine Article"&gt;19&lt;/ref-type&gt;&lt;contributors&gt;&lt;authors&gt;&lt;author&gt;Montgomery, M. R.&lt;/author&gt;&lt;/authors&gt;&lt;/contributors&gt;&lt;titles&gt;&lt;title&gt;Urban poverty and health in developing countries&lt;/title&gt;&lt;secondary-title&gt;Population Bulletin&lt;/secondary-title&gt;&lt;/titles&gt;&lt;pages&gt;1-15&lt;/pages&gt;&lt;volume&gt;64&lt;/volume&gt;&lt;number&gt;2&lt;/number&gt;&lt;dates&gt;&lt;year&gt;2009&lt;/year&gt;&lt;/dates&gt;&lt;pub-location&gt;Washington, DC&lt;/pub-location&gt;&lt;publisher&gt;Population Reference Bureau&lt;/publisher&gt;&lt;urls&gt;&lt;/urls&gt;&lt;/record&gt;&lt;/Cite&gt;&lt;/EndNote&gt;</w:instrText>
      </w:r>
      <w:r w:rsidR="001B585D" w:rsidRPr="00EC2E68">
        <w:fldChar w:fldCharType="separate"/>
      </w:r>
      <w:r w:rsidRPr="00EC2E68">
        <w:rPr>
          <w:noProof/>
        </w:rPr>
        <w:t>(</w:t>
      </w:r>
      <w:hyperlink w:anchor="_ENREF_29" w:tooltip="Montgomery, 2009 #1310" w:history="1">
        <w:r w:rsidRPr="00EC2E68">
          <w:rPr>
            <w:noProof/>
          </w:rPr>
          <w:t>Montgomery, 2009</w:t>
        </w:r>
      </w:hyperlink>
      <w:r w:rsidRPr="00EC2E68">
        <w:rPr>
          <w:noProof/>
        </w:rPr>
        <w:t>)</w:t>
      </w:r>
      <w:r w:rsidR="001B585D" w:rsidRPr="00EC2E68">
        <w:fldChar w:fldCharType="end"/>
      </w:r>
      <w:r w:rsidRPr="00EC2E68">
        <w:t xml:space="preserve">. En Afrique subsaharienne, la croissance démographique a joué un rôle négatif sur l’économie, par l’augmentation des taux de dépendance des années 1960 jusqu’au début des années 1990 (de 85 à plus de 90 personnes à charge pour 100 personnes actives), ce qui a conduit à une croissance plus faible du revenu par tête et du revenu par actif </w:t>
      </w:r>
      <w:r w:rsidR="001B585D" w:rsidRPr="00EC2E68">
        <w:fldChar w:fldCharType="begin"/>
      </w:r>
      <w:r w:rsidRPr="00EC2E68">
        <w:instrText xml:space="preserve"> ADDIN EN.CITE &lt;EndNote&gt;&lt;Cite&gt;&lt;Author&gt;Vimard&lt;/Author&gt;&lt;Year&gt;2011&lt;/Year&gt;&lt;RecNum&gt;1657&lt;/RecNum&gt;&lt;DisplayText&gt;(Vimard and Fassassi, 2011)&lt;/DisplayText&gt;&lt;record&gt;&lt;rec-number&gt;1657&lt;/rec-number&gt;&lt;foreign-keys&gt;&lt;key app="EN" db-id="rp90rxe0lfwt04ewwrups2vqpf2xffxfw022" timestamp="1479197407"&gt;1657&lt;/key&gt;&lt;/foreign-keys&gt;&lt;ref-type name="Journal Article"&gt;17&lt;/ref-type&gt;&lt;contributors&gt;&lt;authors&gt;&lt;author&gt;Vimard, P.&lt;/author&gt;&lt;author&gt;Fassassi, R.&lt;/author&gt;&lt;/authors&gt;&lt;/contributors&gt;&lt;titles&gt;&lt;title&gt;Démographie et développement en Afrique : éléments rétrospectifs et prospectifs&lt;/title&gt;&lt;secondary-title&gt;Cahiers Québécois de Démographie&lt;/secondary-title&gt;&lt;/titles&gt;&lt;periodical&gt;&lt;full-title&gt;Cahiers québécois de démographie&lt;/full-title&gt;&lt;/periodical&gt;&lt;pages&gt;331-364&lt;/pages&gt;&lt;volume&gt;40&lt;/volume&gt;&lt;number&gt;2&lt;/number&gt;&lt;dates&gt;&lt;year&gt;2011&lt;/year&gt;&lt;/dates&gt;&lt;urls&gt;&lt;/urls&gt;&lt;/record&gt;&lt;/Cite&gt;&lt;/EndNote&gt;</w:instrText>
      </w:r>
      <w:r w:rsidR="001B585D" w:rsidRPr="00EC2E68">
        <w:fldChar w:fldCharType="separate"/>
      </w:r>
      <w:r w:rsidRPr="00EC2E68">
        <w:rPr>
          <w:noProof/>
        </w:rPr>
        <w:t>(</w:t>
      </w:r>
      <w:hyperlink w:anchor="_ENREF_44" w:tooltip="Vimard, 2011 #1657" w:history="1">
        <w:r w:rsidRPr="00EC2E68">
          <w:rPr>
            <w:noProof/>
          </w:rPr>
          <w:t xml:space="preserve">Vimard </w:t>
        </w:r>
        <w:r w:rsidR="00AB3DB8">
          <w:rPr>
            <w:noProof/>
          </w:rPr>
          <w:t>et</w:t>
        </w:r>
        <w:r w:rsidRPr="00EC2E68">
          <w:rPr>
            <w:noProof/>
          </w:rPr>
          <w:t>Fassassi, 2011</w:t>
        </w:r>
      </w:hyperlink>
      <w:r w:rsidRPr="00EC2E68">
        <w:rPr>
          <w:noProof/>
        </w:rPr>
        <w:t>)</w:t>
      </w:r>
      <w:r w:rsidR="001B585D" w:rsidRPr="00EC2E68">
        <w:fldChar w:fldCharType="end"/>
      </w:r>
      <w:r w:rsidRPr="00EC2E68">
        <w:t xml:space="preserve">. </w:t>
      </w:r>
      <w:r w:rsidR="00E01500">
        <w:t>Ainsi</w:t>
      </w:r>
      <w:r w:rsidR="00AD2794">
        <w:t>,</w:t>
      </w:r>
      <w:r w:rsidRPr="00EC2E68">
        <w:t xml:space="preserve"> pour les pays d’Afrique subsaharienne, l’équilibre </w:t>
      </w:r>
      <w:r w:rsidRPr="00EC2E68">
        <w:lastRenderedPageBreak/>
        <w:t>entre la démographie et l’économie passe inévitablement par le ralentissement de l’accroissement de la population.</w:t>
      </w:r>
    </w:p>
    <w:p w:rsidR="000043C9" w:rsidRDefault="0064767A" w:rsidP="000043C9">
      <w:pPr>
        <w:spacing w:before="120" w:line="276" w:lineRule="auto"/>
        <w:jc w:val="both"/>
      </w:pPr>
      <w:r w:rsidRPr="00EC2E68">
        <w:t>Au Cameroun, en s’appuyant sur l’analyse des tendances démographiques observées à partir des recensements généraux de la population et de l’habitat</w:t>
      </w:r>
      <w:r w:rsidR="00FA270F" w:rsidRPr="00EC2E68">
        <w:t xml:space="preserve"> (RGPH),l'effectif de la population du Cameroun est </w:t>
      </w:r>
      <w:r w:rsidR="00083780">
        <w:t xml:space="preserve">passé </w:t>
      </w:r>
      <w:r w:rsidR="00FA270F" w:rsidRPr="00EC2E68">
        <w:t>de 7</w:t>
      </w:r>
      <w:r w:rsidR="00AB3DB8">
        <w:t> </w:t>
      </w:r>
      <w:r w:rsidR="00E65418">
        <w:t>663</w:t>
      </w:r>
      <w:r w:rsidR="00AB3DB8">
        <w:t> </w:t>
      </w:r>
      <w:r w:rsidR="00E65418">
        <w:t>246 habitants</w:t>
      </w:r>
      <w:r w:rsidR="00041B4C">
        <w:t xml:space="preserve"> </w:t>
      </w:r>
      <w:r w:rsidR="00D84082" w:rsidRPr="00EC2E68">
        <w:t xml:space="preserve">en 1976 </w:t>
      </w:r>
      <w:r w:rsidRPr="00EC2E68">
        <w:t>(RGPH 1</w:t>
      </w:r>
      <w:r w:rsidR="00FA270F" w:rsidRPr="00EC2E68">
        <w:t>976) à 10</w:t>
      </w:r>
      <w:r w:rsidR="00AB3DB8">
        <w:t> </w:t>
      </w:r>
      <w:r w:rsidR="00E65418">
        <w:t>493</w:t>
      </w:r>
      <w:r w:rsidR="00AB3DB8">
        <w:t> </w:t>
      </w:r>
      <w:r w:rsidR="00E65418">
        <w:t>655 habitants</w:t>
      </w:r>
      <w:r w:rsidR="00041B4C">
        <w:t xml:space="preserve"> </w:t>
      </w:r>
      <w:r w:rsidR="00D84082" w:rsidRPr="00EC2E68">
        <w:t xml:space="preserve">en 1987 </w:t>
      </w:r>
      <w:r w:rsidR="00E65418">
        <w:t>(RGPH 1987) et à 17</w:t>
      </w:r>
      <w:r w:rsidR="00AB3DB8">
        <w:t> </w:t>
      </w:r>
      <w:r w:rsidR="00E65418">
        <w:t>463</w:t>
      </w:r>
      <w:r w:rsidR="00AB3DB8">
        <w:t> </w:t>
      </w:r>
      <w:r w:rsidR="00E65418">
        <w:t>836 habitants</w:t>
      </w:r>
      <w:r w:rsidR="00041B4C">
        <w:t xml:space="preserve"> </w:t>
      </w:r>
      <w:r w:rsidR="00D84082" w:rsidRPr="00EC2E68">
        <w:t xml:space="preserve">en 2005 (RGPH 2005). Au cours de cette période </w:t>
      </w:r>
      <w:r w:rsidR="00E65418">
        <w:t>(</w:t>
      </w:r>
      <w:r w:rsidR="00D84082" w:rsidRPr="00EC2E68">
        <w:t>1976-2005</w:t>
      </w:r>
      <w:r w:rsidR="00E65418">
        <w:t>)</w:t>
      </w:r>
      <w:r w:rsidR="00D84082" w:rsidRPr="00EC2E68">
        <w:t xml:space="preserve">, le taux annuel moyen de croissance démographique a </w:t>
      </w:r>
      <w:r w:rsidR="003C616E" w:rsidRPr="00EC2E68">
        <w:t xml:space="preserve">très peu </w:t>
      </w:r>
      <w:r w:rsidR="00D84082" w:rsidRPr="00EC2E68">
        <w:t>varié.</w:t>
      </w:r>
      <w:r w:rsidR="00041B4C">
        <w:t xml:space="preserve"> </w:t>
      </w:r>
      <w:r w:rsidR="00D84082" w:rsidRPr="00EC2E68">
        <w:t xml:space="preserve">Il était estimé à 2,9% entre 1976 et 1987, 2,8% entre 1987 et 2005, et à 2,6% entre 2005 et 2010 </w:t>
      </w:r>
      <w:r w:rsidR="001B585D" w:rsidRPr="00EC2E68">
        <w:fldChar w:fldCharType="begin"/>
      </w:r>
      <w:r w:rsidR="00D84082" w:rsidRPr="00EC2E68">
        <w:instrText xml:space="preserve"> ADDIN EN.CITE &lt;EndNote&gt;&lt;Cite&gt;&lt;Author&gt;BUCREP&lt;/Author&gt;&lt;Year&gt;2010&lt;/Year&gt;&lt;RecNum&gt;1656&lt;/RecNum&gt;&lt;DisplayText&gt;(BUCREP, 2010)&lt;/DisplayText&gt;&lt;record&gt;&lt;rec-number&gt;1656&lt;/rec-number&gt;&lt;foreign-keys&gt;&lt;key app="EN" db-id="rp90rxe0lfwt04ewwrups2vqpf2xffxfw022" timestamp="1479197163"&gt;1656&lt;/key&gt;&lt;/foreign-keys&gt;&lt;ref-type name="Report"&gt;27&lt;/ref-type&gt;&lt;contributors&gt;&lt;authors&gt;&lt;author&gt;BUCREP&lt;/author&gt;&lt;/authors&gt;&lt;/contributors&gt;&lt;titles&gt;&lt;title&gt;3ème RGPH, la population du Cameroun en 2010&lt;/title&gt;&lt;/titles&gt;&lt;pages&gt;10&lt;/pages&gt;&lt;dates&gt;&lt;year&gt;2010&lt;/year&gt;&lt;/dates&gt;&lt;pub-location&gt;Yaoundé&lt;/pub-location&gt;&lt;publisher&gt;BUCREP&lt;/publisher&gt;&lt;urls&gt;&lt;/urls&gt;&lt;/record&gt;&lt;/Cite&gt;&lt;/EndNote&gt;</w:instrText>
      </w:r>
      <w:r w:rsidR="001B585D" w:rsidRPr="00EC2E68">
        <w:fldChar w:fldCharType="separate"/>
      </w:r>
      <w:r w:rsidR="00D84082" w:rsidRPr="00EC2E68">
        <w:rPr>
          <w:noProof/>
        </w:rPr>
        <w:t>(</w:t>
      </w:r>
      <w:hyperlink w:anchor="_ENREF_8" w:tooltip="BUCREP, 2010 #1656" w:history="1">
        <w:r w:rsidR="00D84082" w:rsidRPr="00EC2E68">
          <w:rPr>
            <w:noProof/>
          </w:rPr>
          <w:t>BUCREP, 2010</w:t>
        </w:r>
      </w:hyperlink>
      <w:r w:rsidR="00D84082" w:rsidRPr="00EC2E68">
        <w:rPr>
          <w:noProof/>
        </w:rPr>
        <w:t>)</w:t>
      </w:r>
      <w:r w:rsidR="001B585D" w:rsidRPr="00EC2E68">
        <w:fldChar w:fldCharType="end"/>
      </w:r>
      <w:r w:rsidR="00D84082" w:rsidRPr="00EC2E68">
        <w:t>.</w:t>
      </w:r>
      <w:r w:rsidR="00187257">
        <w:t xml:space="preserve"> L</w:t>
      </w:r>
      <w:r w:rsidRPr="00EC2E68">
        <w:t xml:space="preserve">a population </w:t>
      </w:r>
      <w:r w:rsidR="00D84082" w:rsidRPr="00EC2E68">
        <w:t>du Cameroun se situerait ainsi,</w:t>
      </w:r>
      <w:r w:rsidRPr="00EC2E68">
        <w:t xml:space="preserve"> au 1</w:t>
      </w:r>
      <w:r w:rsidRPr="00EC2E68">
        <w:rPr>
          <w:vertAlign w:val="superscript"/>
        </w:rPr>
        <w:t>er</w:t>
      </w:r>
      <w:r w:rsidRPr="00EC2E68">
        <w:t xml:space="preserve"> janvier 2010</w:t>
      </w:r>
      <w:r w:rsidR="00D84082" w:rsidRPr="00EC2E68">
        <w:t>,</w:t>
      </w:r>
      <w:r w:rsidRPr="00EC2E68">
        <w:t xml:space="preserve">à 19 406 100 habitants </w:t>
      </w:r>
      <w:r w:rsidR="001B585D" w:rsidRPr="00EC2E68">
        <w:fldChar w:fldCharType="begin"/>
      </w:r>
      <w:r w:rsidRPr="00EC2E68">
        <w:instrText xml:space="preserve"> ADDIN EN.CITE &lt;EndNote&gt;&lt;Cite&gt;&lt;Author&gt;BUCREP&lt;/Author&gt;&lt;Year&gt;2010&lt;/Year&gt;&lt;RecNum&gt;1656&lt;/RecNum&gt;&lt;DisplayText&gt;(BUCREP, 2010)&lt;/DisplayText&gt;&lt;record&gt;&lt;rec-number&gt;1656&lt;/rec-number&gt;&lt;foreign-keys&gt;&lt;key app="EN" db-id="rp90rxe0lfwt04ewwrups2vqpf2xffxfw022" timestamp="1479197163"&gt;1656&lt;/key&gt;&lt;/foreign-keys&gt;&lt;ref-type name="Report"&gt;27&lt;/ref-type&gt;&lt;contributors&gt;&lt;authors&gt;&lt;author&gt;BUCREP&lt;/author&gt;&lt;/authors&gt;&lt;/contributors&gt;&lt;titles&gt;&lt;title&gt;3ème RGPH, la population du Cameroun en 2010&lt;/title&gt;&lt;/titles&gt;&lt;pages&gt;10&lt;/pages&gt;&lt;dates&gt;&lt;year&gt;2010&lt;/year&gt;&lt;/dates&gt;&lt;pub-location&gt;Yaoundé&lt;/pub-location&gt;&lt;publisher&gt;BUCREP&lt;/publisher&gt;&lt;urls&gt;&lt;/urls&gt;&lt;/record&gt;&lt;/Cite&gt;&lt;/EndNote&gt;</w:instrText>
      </w:r>
      <w:r w:rsidR="001B585D" w:rsidRPr="00EC2E68">
        <w:fldChar w:fldCharType="separate"/>
      </w:r>
      <w:r w:rsidRPr="00EC2E68">
        <w:rPr>
          <w:noProof/>
        </w:rPr>
        <w:t>(</w:t>
      </w:r>
      <w:hyperlink w:anchor="_ENREF_8" w:tooltip="BUCREP, 2010 #1656" w:history="1">
        <w:r w:rsidRPr="00EC2E68">
          <w:rPr>
            <w:noProof/>
          </w:rPr>
          <w:t>BUCREP, 2010</w:t>
        </w:r>
      </w:hyperlink>
      <w:r w:rsidRPr="00EC2E68">
        <w:rPr>
          <w:noProof/>
        </w:rPr>
        <w:t>)</w:t>
      </w:r>
      <w:r w:rsidR="001B585D" w:rsidRPr="00EC2E68">
        <w:fldChar w:fldCharType="end"/>
      </w:r>
      <w:r w:rsidRPr="00EC2E68">
        <w:t>. Si ce rythme de croissance annuel moyen se maintenait, la population du Cameroun doublerait (38 812 200 habitants) en 2037 et triplerait (58</w:t>
      </w:r>
      <w:r w:rsidR="00AB3DB8">
        <w:t> </w:t>
      </w:r>
      <w:r w:rsidRPr="00EC2E68">
        <w:t>218</w:t>
      </w:r>
      <w:r w:rsidR="00AB3DB8">
        <w:t> </w:t>
      </w:r>
      <w:r w:rsidRPr="00EC2E68">
        <w:t>300 habitants) vers 2043</w:t>
      </w:r>
      <w:r w:rsidR="001B585D" w:rsidRPr="00EC2E68">
        <w:fldChar w:fldCharType="begin"/>
      </w:r>
      <w:r w:rsidRPr="00EC2E68">
        <w:instrText xml:space="preserve"> ADDIN EN.CITE &lt;EndNote&gt;&lt;Cite&gt;&lt;Author&gt;BUCREP&lt;/Author&gt;&lt;Year&gt;2010&lt;/Year&gt;&lt;RecNum&gt;1656&lt;/RecNum&gt;&lt;DisplayText&gt;(BUCREP, 2010)&lt;/DisplayText&gt;&lt;record&gt;&lt;rec-number&gt;1656&lt;/rec-number&gt;&lt;foreign-keys&gt;&lt;key app="EN" db-id="rp90rxe0lfwt04ewwrups2vqpf2xffxfw022" timestamp="1479197163"&gt;1656&lt;/key&gt;&lt;/foreign-keys&gt;&lt;ref-type name="Report"&gt;27&lt;/ref-type&gt;&lt;contributors&gt;&lt;authors&gt;&lt;author&gt;BUCREP&lt;/author&gt;&lt;/authors&gt;&lt;/contributors&gt;&lt;titles&gt;&lt;title&gt;3ème RGPH, la population du Cameroun en 2010&lt;/title&gt;&lt;/titles&gt;&lt;pages&gt;10&lt;/pages&gt;&lt;dates&gt;&lt;year&gt;2010&lt;/year&gt;&lt;/dates&gt;&lt;pub-location&gt;Yaoundé&lt;/pub-location&gt;&lt;publisher&gt;BUCREP&lt;/publisher&gt;&lt;urls&gt;&lt;/urls&gt;&lt;/record&gt;&lt;/Cite&gt;&lt;/EndNote&gt;</w:instrText>
      </w:r>
      <w:r w:rsidR="001B585D" w:rsidRPr="00EC2E68">
        <w:fldChar w:fldCharType="separate"/>
      </w:r>
      <w:r w:rsidRPr="00EC2E68">
        <w:rPr>
          <w:noProof/>
        </w:rPr>
        <w:t>(</w:t>
      </w:r>
      <w:hyperlink w:anchor="_ENREF_8" w:tooltip="BUCREP, 2010 #1656" w:history="1">
        <w:r w:rsidRPr="00EC2E68">
          <w:rPr>
            <w:noProof/>
          </w:rPr>
          <w:t>BUCREP, 2010</w:t>
        </w:r>
      </w:hyperlink>
      <w:r w:rsidRPr="00EC2E68">
        <w:rPr>
          <w:noProof/>
        </w:rPr>
        <w:t>)</w:t>
      </w:r>
      <w:r w:rsidR="001B585D" w:rsidRPr="00EC2E68">
        <w:fldChar w:fldCharType="end"/>
      </w:r>
      <w:r w:rsidRPr="00EC2E68">
        <w:t>. Ainsi, selon cette hypothèse, en 2050, la population camerounaise franchirait la barre des 60 millions d’habitants.</w:t>
      </w:r>
      <w:r w:rsidR="00187257">
        <w:t xml:space="preserve"> Une inflexion de cette croissance nécessiterait donc une intervention sur les déterminants de cette croissance démographique à savoir la mortalité et la natalité. On considérera par la suite que la baisse </w:t>
      </w:r>
      <w:r w:rsidR="00083780">
        <w:t xml:space="preserve">de </w:t>
      </w:r>
      <w:r w:rsidR="00187257">
        <w:t>0,1% tous les dix ans du taux d'accroissement s'observera jusqu'en 2050.</w:t>
      </w:r>
    </w:p>
    <w:p w:rsidR="00AE6C6F" w:rsidRPr="00543B34" w:rsidRDefault="000043C9" w:rsidP="00031E04">
      <w:pPr>
        <w:pStyle w:val="Paragraphedeliste"/>
        <w:numPr>
          <w:ilvl w:val="0"/>
          <w:numId w:val="85"/>
        </w:numPr>
        <w:spacing w:before="120" w:line="276" w:lineRule="auto"/>
        <w:jc w:val="both"/>
        <w:rPr>
          <w:u w:val="single"/>
        </w:rPr>
      </w:pPr>
      <w:r w:rsidRPr="00543B34">
        <w:rPr>
          <w:bCs/>
          <w:u w:val="single"/>
        </w:rPr>
        <w:t>Fécondité</w:t>
      </w:r>
    </w:p>
    <w:p w:rsidR="00AE6C6F" w:rsidRPr="00EC2E68" w:rsidRDefault="00AE6C6F" w:rsidP="009B11F1">
      <w:pPr>
        <w:spacing w:before="120" w:line="276" w:lineRule="auto"/>
        <w:jc w:val="both"/>
        <w:rPr>
          <w:lang w:val="fr-CA"/>
        </w:rPr>
      </w:pPr>
      <w:r w:rsidRPr="00EC2E68">
        <w:t>L</w:t>
      </w:r>
      <w:r w:rsidRPr="00EC2E68">
        <w:rPr>
          <w:lang w:val="fr-CA"/>
        </w:rPr>
        <w:t xml:space="preserve">es </w:t>
      </w:r>
      <w:r w:rsidR="000043C9">
        <w:rPr>
          <w:lang w:val="fr-CA"/>
        </w:rPr>
        <w:t xml:space="preserve">résultats des </w:t>
      </w:r>
      <w:r w:rsidRPr="00EC2E68">
        <w:rPr>
          <w:lang w:val="fr-CA"/>
        </w:rPr>
        <w:t xml:space="preserve">enquêtes mondiales sur la fécondité </w:t>
      </w:r>
      <w:r w:rsidR="000043C9">
        <w:rPr>
          <w:lang w:val="fr-CA"/>
        </w:rPr>
        <w:t xml:space="preserve">ainsi que ceux des </w:t>
      </w:r>
      <w:r w:rsidRPr="00EC2E68">
        <w:rPr>
          <w:lang w:val="fr-CA"/>
        </w:rPr>
        <w:t xml:space="preserve">enquêtes démographiques et de santé indiquent que le continent africain a débuté </w:t>
      </w:r>
      <w:r w:rsidR="000043C9">
        <w:rPr>
          <w:lang w:val="fr-CA"/>
        </w:rPr>
        <w:t>s</w:t>
      </w:r>
      <w:r w:rsidRPr="00EC2E68">
        <w:rPr>
          <w:lang w:val="fr-CA"/>
        </w:rPr>
        <w:t xml:space="preserve">a transition de la fécondité, même s’il existe </w:t>
      </w:r>
      <w:r w:rsidR="000043C9">
        <w:rPr>
          <w:lang w:val="fr-CA"/>
        </w:rPr>
        <w:t xml:space="preserve">encore </w:t>
      </w:r>
      <w:r w:rsidRPr="00EC2E68">
        <w:rPr>
          <w:lang w:val="fr-CA"/>
        </w:rPr>
        <w:t xml:space="preserve">des disparités entre les régions. Dans l’ensemble, les pays d’Afrique de l’Est et d’Afrique australe sont plus avancés </w:t>
      </w:r>
      <w:r w:rsidR="000043C9">
        <w:rPr>
          <w:lang w:val="fr-CA"/>
        </w:rPr>
        <w:t>dans leur transition que ceux de l'Afrique de l’Ouest et de l'</w:t>
      </w:r>
      <w:r w:rsidRPr="00EC2E68">
        <w:rPr>
          <w:lang w:val="fr-CA"/>
        </w:rPr>
        <w:t>Afrique centrale.</w:t>
      </w:r>
    </w:p>
    <w:p w:rsidR="001661AA" w:rsidRDefault="00AE6C6F" w:rsidP="009B11F1">
      <w:pPr>
        <w:spacing w:line="276" w:lineRule="auto"/>
        <w:jc w:val="both"/>
        <w:rPr>
          <w:lang w:val="fr-CA"/>
        </w:rPr>
      </w:pPr>
      <w:r w:rsidRPr="00EC2E68">
        <w:rPr>
          <w:lang w:val="fr-CA"/>
        </w:rPr>
        <w:t>L</w:t>
      </w:r>
      <w:r w:rsidR="00982626">
        <w:rPr>
          <w:lang w:val="fr-CA"/>
        </w:rPr>
        <w:t xml:space="preserve">e nombre moyen d'enfants nés vivants par femme (ou </w:t>
      </w:r>
      <w:r w:rsidRPr="00EC2E68">
        <w:t>indice synthétique de fécondité</w:t>
      </w:r>
      <w:r w:rsidR="00982626">
        <w:t>)</w:t>
      </w:r>
      <w:r w:rsidRPr="00EC2E68">
        <w:rPr>
          <w:lang w:val="fr-CA"/>
        </w:rPr>
        <w:t xml:space="preserve"> est estimé aujourd’hui à 5,4 enfants en Afrique subsaharienne, </w:t>
      </w:r>
      <w:r w:rsidR="00982626">
        <w:rPr>
          <w:lang w:val="fr-CA"/>
        </w:rPr>
        <w:t>plus du double</w:t>
      </w:r>
      <w:r w:rsidRPr="00EC2E68">
        <w:rPr>
          <w:lang w:val="fr-CA"/>
        </w:rPr>
        <w:t xml:space="preserve"> de la moyenne mondiale estimée à 2,5 enfants</w:t>
      </w:r>
      <w:r w:rsidR="00982626">
        <w:rPr>
          <w:lang w:val="fr-CA"/>
        </w:rPr>
        <w:t xml:space="preserve"> en moyenne</w:t>
      </w:r>
      <w:r w:rsidRPr="00EC2E68">
        <w:rPr>
          <w:lang w:val="fr-CA"/>
        </w:rPr>
        <w:t xml:space="preserve"> par femme </w:t>
      </w:r>
      <w:r w:rsidR="001B585D" w:rsidRPr="00EC2E68">
        <w:rPr>
          <w:lang w:val="fr-CA"/>
        </w:rPr>
        <w:fldChar w:fldCharType="begin"/>
      </w:r>
      <w:r w:rsidRPr="00EC2E68">
        <w:rPr>
          <w:lang w:val="fr-CA"/>
        </w:rPr>
        <w:instrText xml:space="preserve"> ADDIN EN.CITE &lt;EndNote&gt;&lt;Cite&gt;&lt;Author&gt;INED&lt;/Author&gt;&lt;Year&gt;2013&lt;/Year&gt;&lt;RecNum&gt;1630&lt;/RecNum&gt;&lt;DisplayText&gt;(INED, 2013)&lt;/DisplayText&gt;&lt;record&gt;&lt;rec-number&gt;1630&lt;/rec-number&gt;&lt;foreign-keys&gt;&lt;key app="EN" db-id="rp90rxe0lfwt04ewwrups2vqpf2xffxfw022" timestamp="1438188308"&gt;1630&lt;/key&gt;&lt;/foreign-keys&gt;&lt;ref-type name="Journal Article"&gt;17&lt;/ref-type&gt;&lt;contributors&gt;&lt;authors&gt;&lt;author&gt;INED&lt;/author&gt;&lt;/authors&gt;&lt;/contributors&gt;&lt;titles&gt;&lt;title&gt;Tous les pays du monde (2013)&lt;/title&gt;&lt;secondary-title&gt;Population &amp;amp; Sociétés&lt;/secondary-title&gt;&lt;/titles&gt;&lt;periodical&gt;&lt;full-title&gt;Population &amp;amp; Sociétés&lt;/full-title&gt;&lt;/periodical&gt;&lt;pages&gt;1-7&lt;/pages&gt;&lt;number&gt;503&lt;/number&gt;&lt;dates&gt;&lt;year&gt;2013&lt;/year&gt;&lt;/dates&gt;&lt;urls&gt;&lt;/urls&gt;&lt;/record&gt;&lt;/Cite&gt;&lt;/EndNote&gt;</w:instrText>
      </w:r>
      <w:r w:rsidR="001B585D" w:rsidRPr="00EC2E68">
        <w:rPr>
          <w:lang w:val="fr-CA"/>
        </w:rPr>
        <w:fldChar w:fldCharType="separate"/>
      </w:r>
      <w:r w:rsidRPr="00EC2E68">
        <w:rPr>
          <w:noProof/>
          <w:lang w:val="fr-CA"/>
        </w:rPr>
        <w:t>(</w:t>
      </w:r>
      <w:hyperlink w:anchor="_ENREF_19" w:tooltip="INED, 2013 #1630" w:history="1">
        <w:r w:rsidRPr="00EC2E68">
          <w:rPr>
            <w:noProof/>
            <w:lang w:val="fr-CA"/>
          </w:rPr>
          <w:t>INED, 2013</w:t>
        </w:r>
      </w:hyperlink>
      <w:r w:rsidRPr="00EC2E68">
        <w:rPr>
          <w:noProof/>
          <w:lang w:val="fr-CA"/>
        </w:rPr>
        <w:t>)</w:t>
      </w:r>
      <w:r w:rsidR="001B585D" w:rsidRPr="00EC2E68">
        <w:rPr>
          <w:lang w:val="fr-CA"/>
        </w:rPr>
        <w:fldChar w:fldCharType="end"/>
      </w:r>
      <w:r w:rsidRPr="00EC2E68">
        <w:rPr>
          <w:lang w:val="fr-CA"/>
        </w:rPr>
        <w:t xml:space="preserve">. Le Niger se démarque avec 7,6 enfants </w:t>
      </w:r>
      <w:r w:rsidR="00982626">
        <w:rPr>
          <w:lang w:val="fr-CA"/>
        </w:rPr>
        <w:t xml:space="preserve">en moyenne </w:t>
      </w:r>
      <w:r w:rsidRPr="00EC2E68">
        <w:rPr>
          <w:lang w:val="fr-CA"/>
        </w:rPr>
        <w:t>par femme devant la Somalie (7,1) et le Mali (6,8). Selon les estimations des Nations Unies, en 2050, on compterait encore 5 enfants</w:t>
      </w:r>
      <w:r w:rsidR="00982626">
        <w:rPr>
          <w:lang w:val="fr-CA"/>
        </w:rPr>
        <w:t xml:space="preserve"> en moyenne</w:t>
      </w:r>
      <w:r w:rsidRPr="00EC2E68">
        <w:rPr>
          <w:lang w:val="fr-CA"/>
        </w:rPr>
        <w:t xml:space="preserve"> par femme au Niger, et plus de 4 enfants </w:t>
      </w:r>
      <w:r w:rsidR="00982626">
        <w:rPr>
          <w:lang w:val="fr-CA"/>
        </w:rPr>
        <w:t xml:space="preserve">en moyenne </w:t>
      </w:r>
      <w:r w:rsidRPr="00EC2E68">
        <w:rPr>
          <w:lang w:val="fr-CA"/>
        </w:rPr>
        <w:t xml:space="preserve">par femme au Mali </w:t>
      </w:r>
      <w:r w:rsidR="001B585D" w:rsidRPr="00EC2E68">
        <w:rPr>
          <w:lang w:val="fr-CA"/>
        </w:rPr>
        <w:fldChar w:fldCharType="begin"/>
      </w:r>
      <w:r w:rsidRPr="00EC2E68">
        <w:rPr>
          <w:lang w:val="fr-CA"/>
        </w:rPr>
        <w:instrText xml:space="preserve"> ADDIN EN.CITE &lt;EndNote&gt;&lt;Cite&gt;&lt;Author&gt;Nations&lt;/Author&gt;&lt;Year&gt;2015&lt;/Year&gt;&lt;RecNum&gt;1668&lt;/RecNum&gt;&lt;DisplayText&gt;(Nations, 2015)&lt;/DisplayText&gt;&lt;record&gt;&lt;rec-number&gt;1668&lt;/rec-number&gt;&lt;foreign-keys&gt;&lt;key app="EN" db-id="rp90rxe0lfwt04ewwrups2vqpf2xffxfw022" timestamp="1479375519"&gt;1668&lt;/key&gt;&lt;/foreign-keys&gt;&lt;ref-type name="Report"&gt;27&lt;/ref-type&gt;&lt;contributors&gt;&lt;authors&gt;&lt;author&gt;United Nations&lt;/author&gt;&lt;/authors&gt;&lt;/contributors&gt;&lt;titles&gt;&lt;title&gt;Revision of World Population Prospects &lt;/title&gt;&lt;/titles&gt;&lt;pages&gt;38&lt;/pages&gt;&lt;dates&gt;&lt;year&gt;2015&lt;/year&gt;&lt;/dates&gt;&lt;pub-location&gt;New York&lt;/pub-location&gt;&lt;publisher&gt;UN&lt;/publisher&gt;&lt;urls&gt;&lt;/urls&gt;&lt;/record&gt;&lt;/Cite&gt;&lt;/EndNote&gt;</w:instrText>
      </w:r>
      <w:r w:rsidR="001B585D" w:rsidRPr="00EC2E68">
        <w:rPr>
          <w:lang w:val="fr-CA"/>
        </w:rPr>
        <w:fldChar w:fldCharType="separate"/>
      </w:r>
      <w:r w:rsidRPr="00EC2E68">
        <w:rPr>
          <w:noProof/>
          <w:lang w:val="fr-CA"/>
        </w:rPr>
        <w:t>(</w:t>
      </w:r>
      <w:hyperlink w:anchor="_ENREF_31" w:tooltip="Nations, 2015 #1668" w:history="1">
        <w:r w:rsidRPr="00EC2E68">
          <w:rPr>
            <w:noProof/>
            <w:lang w:val="fr-CA"/>
          </w:rPr>
          <w:t>Nations, 2015</w:t>
        </w:r>
      </w:hyperlink>
      <w:r w:rsidRPr="00EC2E68">
        <w:rPr>
          <w:noProof/>
          <w:lang w:val="fr-CA"/>
        </w:rPr>
        <w:t>)</w:t>
      </w:r>
      <w:r w:rsidR="001B585D" w:rsidRPr="00EC2E68">
        <w:rPr>
          <w:lang w:val="fr-CA"/>
        </w:rPr>
        <w:fldChar w:fldCharType="end"/>
      </w:r>
      <w:r w:rsidRPr="00EC2E68">
        <w:rPr>
          <w:lang w:val="fr-CA"/>
        </w:rPr>
        <w:t>. Les niveaux élevés de fécondité seraient en partie la ré</w:t>
      </w:r>
      <w:r w:rsidR="00982626">
        <w:rPr>
          <w:lang w:val="fr-CA"/>
        </w:rPr>
        <w:t>sultante des déterminants socio</w:t>
      </w:r>
      <w:r w:rsidRPr="00EC2E68">
        <w:rPr>
          <w:lang w:val="fr-CA"/>
        </w:rPr>
        <w:t xml:space="preserve">économiques et culturels </w:t>
      </w:r>
      <w:r w:rsidR="001B585D" w:rsidRPr="00EC2E68">
        <w:rPr>
          <w:lang w:val="fr-CA"/>
        </w:rPr>
        <w:fldChar w:fldCharType="begin"/>
      </w:r>
      <w:r w:rsidRPr="00EC2E68">
        <w:rPr>
          <w:lang w:val="fr-CA"/>
        </w:rPr>
        <w:instrText xml:space="preserve"> ADDIN EN.CITE &lt;EndNote&gt;&lt;Cite&gt;&lt;Author&gt;Schoumaker&lt;/Author&gt;&lt;Year&gt;2004&lt;/Year&gt;&lt;RecNum&gt;1634&lt;/RecNum&gt;&lt;DisplayText&gt;(Schoumaker, 2004, Vimard and Fassassi, 2011)&lt;/DisplayText&gt;&lt;record&gt;&lt;rec-number&gt;1634&lt;/rec-number&gt;&lt;foreign-keys&gt;&lt;key app="EN" db-id="rp90rxe0lfwt04ewwrups2vqpf2xffxfw022" timestamp="1438195163"&gt;1634&lt;/key&gt;&lt;/foreign-keys&gt;&lt;ref-type name="Journal Article"&gt;17&lt;/ref-type&gt;&lt;contributors&gt;&lt;authors&gt;&lt;author&gt;Schoumaker, B.&lt;/author&gt;&lt;/authors&gt;&lt;/contributors&gt;&lt;titles&gt;&lt;title&gt;Pauvreté et fécondité en Afrique sub-saharienne: une analyse comparative des enquêtes démographiques et de santé&lt;/title&gt;&lt;secondary-title&gt;African Population Studies&lt;/secondary-title&gt;&lt;/titles&gt;&lt;periodical&gt;&lt;full-title&gt;African Population Studies&lt;/full-title&gt;&lt;/periodical&gt;&lt;pages&gt;13-45&lt;/pages&gt;&lt;volume&gt;19&lt;/volume&gt;&lt;dates&gt;&lt;year&gt;2004&lt;/year&gt;&lt;/dates&gt;&lt;urls&gt;&lt;/urls&gt;&lt;/record&gt;&lt;/Cite&gt;&lt;Cite&gt;&lt;Author&gt;Vimard&lt;/Author&gt;&lt;Year&gt;2011&lt;/Year&gt;&lt;RecNum&gt;1657&lt;/RecNum&gt;&lt;record&gt;&lt;rec-number&gt;1657&lt;/rec-number&gt;&lt;foreign-keys&gt;&lt;key app="EN" db-id="rp90rxe0lfwt04ewwrups2vqpf2xffxfw022" timestamp="1479197407"&gt;1657&lt;/key&gt;&lt;/foreign-keys&gt;&lt;ref-type name="Journal Article"&gt;17&lt;/ref-type&gt;&lt;contributors&gt;&lt;authors&gt;&lt;author&gt;Vimard, P.&lt;/author&gt;&lt;author&gt;Fassassi, R.&lt;/author&gt;&lt;/authors&gt;&lt;/contributors&gt;&lt;titles&gt;&lt;title&gt;Démographie et développement en Afrique : éléments rétrospectifs et prospectifs&lt;/title&gt;&lt;secondary-title&gt;Cahiers Québécois de Démographie&lt;/secondary-title&gt;&lt;/titles&gt;&lt;periodical&gt;&lt;full-title&gt;Cahiers québécois de démographie&lt;/full-title&gt;&lt;/periodical&gt;&lt;pages&gt;331-364&lt;/pages&gt;&lt;volume&gt;40&lt;/volume&gt;&lt;number&gt;2&lt;/number&gt;&lt;dates&gt;&lt;year&gt;2011&lt;/year&gt;&lt;/dates&gt;&lt;urls&gt;&lt;/urls&gt;&lt;/record&gt;&lt;/Cite&gt;&lt;/EndNote&gt;</w:instrText>
      </w:r>
      <w:r w:rsidR="001B585D" w:rsidRPr="00EC2E68">
        <w:rPr>
          <w:lang w:val="fr-CA"/>
        </w:rPr>
        <w:fldChar w:fldCharType="separate"/>
      </w:r>
      <w:r w:rsidRPr="00EC2E68">
        <w:rPr>
          <w:noProof/>
          <w:lang w:val="fr-CA"/>
        </w:rPr>
        <w:t>(</w:t>
      </w:r>
      <w:hyperlink w:anchor="_ENREF_37" w:tooltip="Schoumaker, 2004 #1634" w:history="1">
        <w:r w:rsidRPr="00EC2E68">
          <w:rPr>
            <w:noProof/>
            <w:lang w:val="fr-CA"/>
          </w:rPr>
          <w:t>Schoumaker, 2004</w:t>
        </w:r>
      </w:hyperlink>
      <w:r w:rsidRPr="00EC2E68">
        <w:rPr>
          <w:noProof/>
          <w:lang w:val="fr-CA"/>
        </w:rPr>
        <w:t xml:space="preserve">, </w:t>
      </w:r>
      <w:hyperlink w:anchor="_ENREF_44" w:tooltip="Vimard, 2011 #1657" w:history="1">
        <w:r w:rsidRPr="00EC2E68">
          <w:rPr>
            <w:noProof/>
            <w:lang w:val="fr-CA"/>
          </w:rPr>
          <w:t xml:space="preserve">Vimard </w:t>
        </w:r>
        <w:r w:rsidR="001F14BC">
          <w:rPr>
            <w:noProof/>
            <w:lang w:val="fr-CA"/>
          </w:rPr>
          <w:t>et</w:t>
        </w:r>
        <w:r w:rsidRPr="00EC2E68">
          <w:rPr>
            <w:noProof/>
            <w:lang w:val="fr-CA"/>
          </w:rPr>
          <w:t>Fassassi, 2011</w:t>
        </w:r>
      </w:hyperlink>
      <w:r w:rsidRPr="00EC2E68">
        <w:rPr>
          <w:noProof/>
          <w:lang w:val="fr-CA"/>
        </w:rPr>
        <w:t>)</w:t>
      </w:r>
      <w:r w:rsidR="001B585D" w:rsidRPr="00EC2E68">
        <w:rPr>
          <w:lang w:val="fr-CA"/>
        </w:rPr>
        <w:fldChar w:fldCharType="end"/>
      </w:r>
      <w:r w:rsidRPr="00EC2E68">
        <w:rPr>
          <w:lang w:val="fr-CA"/>
        </w:rPr>
        <w:t xml:space="preserve">. </w:t>
      </w:r>
      <w:r w:rsidRPr="00EC2E68">
        <w:t xml:space="preserve">Par exemple, en Éthiopie, les femmes ayant fréquenté le cycle secondaire ont un indice synthétique de fécondité un peu moins de 2 enfants </w:t>
      </w:r>
      <w:r w:rsidR="00982626">
        <w:t xml:space="preserve">en moyenne </w:t>
      </w:r>
      <w:r w:rsidRPr="00EC2E68">
        <w:t>par femme, ce qui est en deçà du seuil de remplacement des générations, alors qu’au niveau national cet indice est un peu moins de 5 enfants</w:t>
      </w:r>
      <w:r w:rsidR="00982626">
        <w:t xml:space="preserve"> en moyenne</w:t>
      </w:r>
      <w:r w:rsidRPr="00EC2E68">
        <w:t xml:space="preserve"> par femme </w:t>
      </w:r>
      <w:r w:rsidR="001B585D" w:rsidRPr="00EC2E68">
        <w:fldChar w:fldCharType="begin"/>
      </w:r>
      <w:r w:rsidRPr="00EC2E68">
        <w:instrText xml:space="preserve"> ADDIN EN.CITE &lt;EndNote&gt;&lt;Cite&gt;&lt;Author&gt;Vimard&lt;/Author&gt;&lt;Year&gt;2011&lt;/Year&gt;&lt;RecNum&gt;1657&lt;/RecNum&gt;&lt;DisplayText&gt;(Vimard and Fassassi, 2011)&lt;/DisplayText&gt;&lt;record&gt;&lt;rec-number&gt;1657&lt;/rec-number&gt;&lt;foreign-keys&gt;&lt;key app="EN" db-id="rp90rxe0lfwt04ewwrups2vqpf2xffxfw022" timestamp="1479197407"&gt;1657&lt;/key&gt;&lt;/foreign-keys&gt;&lt;ref-type name="Journal Article"&gt;17&lt;/ref-type&gt;&lt;contributors&gt;&lt;authors&gt;&lt;author&gt;Vimard, P.&lt;/author&gt;&lt;author&gt;Fassassi, R.&lt;/author&gt;&lt;/authors&gt;&lt;/contributors&gt;&lt;titles&gt;&lt;title&gt;Démographie et développement en Afrique : éléments rétrospectifs et prospectifs&lt;/title&gt;&lt;secondary-title&gt;Cahiers Québécois de Démographie&lt;/secondary-title&gt;&lt;/titles&gt;&lt;periodical&gt;&lt;full-title&gt;Cahiers québécois de démographie&lt;/full-title&gt;&lt;/periodical&gt;&lt;pages&gt;331-364&lt;/pages&gt;&lt;volume&gt;40&lt;/volume&gt;&lt;number&gt;2&lt;/number&gt;&lt;dates&gt;&lt;year&gt;2011&lt;/year&gt;&lt;/dates&gt;&lt;urls&gt;&lt;/urls&gt;&lt;/record&gt;&lt;/Cite&gt;&lt;/EndNote&gt;</w:instrText>
      </w:r>
      <w:r w:rsidR="001B585D" w:rsidRPr="00EC2E68">
        <w:fldChar w:fldCharType="separate"/>
      </w:r>
      <w:r w:rsidRPr="00EC2E68">
        <w:rPr>
          <w:noProof/>
        </w:rPr>
        <w:t>(</w:t>
      </w:r>
      <w:hyperlink w:anchor="_ENREF_44" w:tooltip="Vimard, 2011 #1657" w:history="1">
        <w:r w:rsidRPr="00EC2E68">
          <w:rPr>
            <w:noProof/>
          </w:rPr>
          <w:t xml:space="preserve">Vimard </w:t>
        </w:r>
        <w:r w:rsidR="00CA1F90">
          <w:rPr>
            <w:noProof/>
          </w:rPr>
          <w:t>et</w:t>
        </w:r>
        <w:r w:rsidRPr="00EC2E68">
          <w:rPr>
            <w:noProof/>
          </w:rPr>
          <w:t>Fassassi, 2011</w:t>
        </w:r>
      </w:hyperlink>
      <w:r w:rsidRPr="00EC2E68">
        <w:rPr>
          <w:noProof/>
        </w:rPr>
        <w:t>)</w:t>
      </w:r>
      <w:r w:rsidR="001B585D" w:rsidRPr="00EC2E68">
        <w:fldChar w:fldCharType="end"/>
      </w:r>
      <w:r w:rsidRPr="00EC2E68">
        <w:t xml:space="preserve">. </w:t>
      </w:r>
      <w:r w:rsidRPr="00EC2E68">
        <w:rPr>
          <w:lang w:val="fr-CA"/>
        </w:rPr>
        <w:t xml:space="preserve">Une autre raison de la fécondité élevée est que l’entrée en union est souvent très précoce. La proportion de femmes de 20-24 ans qui se sont mariées avant l’âge de 20 ans dépasse </w:t>
      </w:r>
      <w:r w:rsidR="00982626">
        <w:rPr>
          <w:lang w:val="fr-CA"/>
        </w:rPr>
        <w:t xml:space="preserve">les </w:t>
      </w:r>
      <w:r w:rsidRPr="00EC2E68">
        <w:rPr>
          <w:lang w:val="fr-CA"/>
        </w:rPr>
        <w:t xml:space="preserve">80% dans de nombreux pays en Afrique subsaharienne </w:t>
      </w:r>
      <w:r w:rsidR="001B585D" w:rsidRPr="00EC2E68">
        <w:rPr>
          <w:lang w:val="fr-CA"/>
        </w:rPr>
        <w:fldChar w:fldCharType="begin"/>
      </w:r>
      <w:r w:rsidRPr="00EC2E68">
        <w:rPr>
          <w:lang w:val="fr-CA"/>
        </w:rPr>
        <w:instrText xml:space="preserve"> ADDIN EN.CITE &lt;EndNote&gt;&lt;Cite&gt;&lt;Author&gt;Leridon&lt;/Author&gt;&lt;Year&gt;2015&lt;/Year&gt;&lt;RecNum&gt;1660&lt;/RecNum&gt;&lt;DisplayText&gt;(Leridon, 2015)&lt;/DisplayText&gt;&lt;record&gt;&lt;rec-number&gt;1660&lt;/rec-number&gt;&lt;foreign-keys&gt;&lt;key app="EN" db-id="rp90rxe0lfwt04ewwrups2vqpf2xffxfw022" timestamp="1479320569"&gt;1660&lt;/key&gt;&lt;/foreign-keys&gt;&lt;ref-type name="Journal Article"&gt;17&lt;/ref-type&gt;&lt;contributors&gt;&lt;authors&gt;&lt;author&gt;Leridon, Henri&lt;/author&gt;&lt;/authors&gt;&lt;/contributors&gt;&lt;titles&gt;&lt;title&gt;Afrique subsaharienne: une transition démographique explosive&lt;/title&gt;&lt;secondary-title&gt;Futuribles&lt;/secondary-title&gt;&lt;/titles&gt;&lt;periodical&gt;&lt;full-title&gt;Futuribles&lt;/full-title&gt;&lt;/periodical&gt;&lt;pages&gt;5-21&lt;/pages&gt;&lt;volume&gt;407&lt;/volume&gt;&lt;dates&gt;&lt;year&gt;2015&lt;/year&gt;&lt;/dates&gt;&lt;urls&gt;&lt;/urls&gt;&lt;/record&gt;&lt;/Cite&gt;&lt;/EndNote&gt;</w:instrText>
      </w:r>
      <w:r w:rsidR="001B585D" w:rsidRPr="00EC2E68">
        <w:rPr>
          <w:lang w:val="fr-CA"/>
        </w:rPr>
        <w:fldChar w:fldCharType="separate"/>
      </w:r>
      <w:r w:rsidRPr="00EC2E68">
        <w:rPr>
          <w:noProof/>
          <w:lang w:val="fr-CA"/>
        </w:rPr>
        <w:t>(</w:t>
      </w:r>
      <w:hyperlink w:anchor="_ENREF_25" w:tooltip="Leridon, 2015 #1660" w:history="1">
        <w:r w:rsidRPr="00EC2E68">
          <w:rPr>
            <w:noProof/>
            <w:lang w:val="fr-CA"/>
          </w:rPr>
          <w:t>Leridon, 2015</w:t>
        </w:r>
      </w:hyperlink>
      <w:r w:rsidRPr="00EC2E68">
        <w:rPr>
          <w:noProof/>
          <w:lang w:val="fr-CA"/>
        </w:rPr>
        <w:t>)</w:t>
      </w:r>
      <w:r w:rsidR="001B585D" w:rsidRPr="00EC2E68">
        <w:rPr>
          <w:lang w:val="fr-CA"/>
        </w:rPr>
        <w:fldChar w:fldCharType="end"/>
      </w:r>
      <w:r w:rsidRPr="00EC2E68">
        <w:rPr>
          <w:lang w:val="fr-CA"/>
        </w:rPr>
        <w:t>.</w:t>
      </w:r>
    </w:p>
    <w:p w:rsidR="009B11F1" w:rsidRDefault="009B11F1">
      <w:r>
        <w:br w:type="page"/>
      </w:r>
    </w:p>
    <w:p w:rsidR="00E721EE" w:rsidRDefault="00AE6C6F" w:rsidP="00E721EE">
      <w:pPr>
        <w:spacing w:before="120" w:line="276" w:lineRule="auto"/>
        <w:jc w:val="both"/>
      </w:pPr>
      <w:r w:rsidRPr="00EC2E68">
        <w:lastRenderedPageBreak/>
        <w:t>Au Cameroun, l’indice synthétique de fécondité est passé de 6,8 enfants</w:t>
      </w:r>
      <w:r w:rsidR="00982626">
        <w:t xml:space="preserve"> en moyenne</w:t>
      </w:r>
      <w:r w:rsidRPr="00EC2E68">
        <w:t xml:space="preserve"> par femme peu avant 1980</w:t>
      </w:r>
      <w:r w:rsidR="002D24C2">
        <w:t>, à 5,8 enfants en moyenne en 1992 (</w:t>
      </w:r>
      <w:hyperlink w:anchor="_ENREF_21" w:tooltip="INS et ORC Macro, 1992 #1671" w:history="1">
        <w:r w:rsidR="002D24C2" w:rsidRPr="00EC2E68">
          <w:rPr>
            <w:noProof/>
          </w:rPr>
          <w:t>INS et ORC Macro, 1992</w:t>
        </w:r>
      </w:hyperlink>
      <w:r w:rsidR="002D24C2">
        <w:t>)</w:t>
      </w:r>
      <w:r w:rsidR="00E721EE">
        <w:t xml:space="preserve">, et à 4,9 enfants en moyenne en </w:t>
      </w:r>
      <w:r w:rsidR="00116899" w:rsidRPr="00A94B37">
        <w:t xml:space="preserve">2014 </w:t>
      </w:r>
      <w:r w:rsidR="001B585D" w:rsidRPr="00A94B37">
        <w:fldChar w:fldCharType="begin"/>
      </w:r>
      <w:r w:rsidR="00116899" w:rsidRPr="00A94B37">
        <w:instrText xml:space="preserve"> ADDIN EN.CITE &lt;EndNote&gt;&lt;Cite&gt;&lt;Author&gt;INS&lt;/Author&gt;&lt;Year&gt;2012&lt;/Year&gt;&lt;RecNum&gt;1669&lt;/RecNum&gt;&lt;DisplayText&gt;(INS et ICF International, 2012)&lt;/DisplayText&gt;&lt;record&gt;&lt;rec-number&gt;1669&lt;/rec-number&gt;&lt;foreign-keys&gt;&lt;key app="EN" db-id="rp90rxe0lfwt04ewwrups2vqpf2xffxfw022" timestamp="1479377594"&gt;1669&lt;/key&gt;&lt;/foreign-keys&gt;&lt;ref-type name="Report"&gt;27&lt;/ref-type&gt;&lt;contributors&gt;&lt;authors&gt;&lt;author&gt;INS et ICF International,&lt;/author&gt;&lt;/authors&gt;&lt;/contributors&gt;&lt;titles&gt;&lt;title&gt;Enquête démographique et de santé et à indicateurs multiples au Cameroun 2011&lt;/title&gt;&lt;/titles&gt;&lt;pages&gt;546&lt;/pages&gt;&lt;dates&gt;&lt;year&gt;2012&lt;/year&gt;&lt;/dates&gt;&lt;pub-location&gt;Calverton, Maryland, USA&lt;/pub-location&gt;&lt;publisher&gt;INS et ICF International&lt;/publisher&gt;&lt;urls&gt;&lt;/urls&gt;&lt;/record&gt;&lt;/Cite&gt;&lt;/EndNote&gt;</w:instrText>
      </w:r>
      <w:r w:rsidR="001B585D" w:rsidRPr="00A94B37">
        <w:fldChar w:fldCharType="separate"/>
      </w:r>
      <w:r w:rsidR="00116899" w:rsidRPr="00A94B37">
        <w:rPr>
          <w:noProof/>
        </w:rPr>
        <w:t>(</w:t>
      </w:r>
      <w:hyperlink w:anchor="_ENREF_20" w:tooltip="INS et ICF International, 2012 #1669" w:history="1">
        <w:r w:rsidR="00116899" w:rsidRPr="00A94B37">
          <w:rPr>
            <w:noProof/>
          </w:rPr>
          <w:t>INS et ICF International, 2014</w:t>
        </w:r>
      </w:hyperlink>
      <w:r w:rsidR="00116899" w:rsidRPr="00A94B37">
        <w:rPr>
          <w:noProof/>
        </w:rPr>
        <w:t>)</w:t>
      </w:r>
      <w:r w:rsidR="001B585D" w:rsidRPr="00A94B37">
        <w:fldChar w:fldCharType="end"/>
      </w:r>
      <w:r w:rsidR="00116899" w:rsidRPr="00A94B37">
        <w:t>.</w:t>
      </w:r>
      <w:r w:rsidR="00E721EE">
        <w:t xml:space="preserve"> On considérera que cette baisse va se poursuivre pendant toute la période de projection compte </w:t>
      </w:r>
      <w:r w:rsidR="00D2771A">
        <w:t>tenu d</w:t>
      </w:r>
      <w:r w:rsidR="00E721EE">
        <w:t>es nouvelles orientations de la stratégie sectorielle de la santé, malgré le désir persistant des femmes d'une famille nombreuse</w:t>
      </w:r>
      <w:r w:rsidRPr="00EC2E68">
        <w:t>.</w:t>
      </w:r>
    </w:p>
    <w:p w:rsidR="00A703E6" w:rsidRPr="00943535" w:rsidRDefault="00AE6C6F" w:rsidP="00943535">
      <w:pPr>
        <w:pStyle w:val="Paragraphedeliste"/>
        <w:numPr>
          <w:ilvl w:val="2"/>
          <w:numId w:val="79"/>
        </w:numPr>
        <w:spacing w:before="120" w:line="276" w:lineRule="auto"/>
        <w:jc w:val="both"/>
        <w:rPr>
          <w:u w:val="single"/>
        </w:rPr>
      </w:pPr>
      <w:r w:rsidRPr="00943535">
        <w:rPr>
          <w:bCs/>
          <w:u w:val="single"/>
        </w:rPr>
        <w:t>Rapport de dépendance</w:t>
      </w:r>
    </w:p>
    <w:p w:rsidR="00AE6C6F" w:rsidRPr="00EC2E68" w:rsidRDefault="00AE6C6F" w:rsidP="008C56E8">
      <w:pPr>
        <w:spacing w:before="120" w:line="276" w:lineRule="auto"/>
        <w:jc w:val="both"/>
      </w:pPr>
      <w:r w:rsidRPr="00EC2E68">
        <w:t xml:space="preserve">En Afrique subsaharienne, le rapport de dépendance, très élevé dans les années 1970 où les moins de 15 ans représentaient plus de 45% de la population totale, a diminué au fil du temps suite à la baisse de la fécondité </w:t>
      </w:r>
      <w:r w:rsidR="001B585D" w:rsidRPr="00EC2E68">
        <w:fldChar w:fldCharType="begin"/>
      </w:r>
      <w:r w:rsidRPr="00EC2E68">
        <w:instrText xml:space="preserve"> ADDIN EN.CITE &lt;EndNote&gt;&lt;Cite&gt;&lt;Author&gt;INED&lt;/Author&gt;&lt;Year&gt;2002&lt;/Year&gt;&lt;RecNum&gt;1673&lt;/RecNum&gt;&lt;DisplayText&gt;(INED, 2002)&lt;/DisplayText&gt;&lt;record&gt;&lt;rec-number&gt;1673&lt;/rec-number&gt;&lt;foreign-keys&gt;&lt;key app="EN" db-id="rp90rxe0lfwt04ewwrups2vqpf2xffxfw022" timestamp="1479393972"&gt;1673&lt;/key&gt;&lt;/foreign-keys&gt;&lt;ref-type name="Book"&gt;6&lt;/ref-type&gt;&lt;contributors&gt;&lt;authors&gt;&lt;author&gt;INED&lt;/author&gt;&lt;/authors&gt;&lt;/contributors&gt;&lt;titles&gt;&lt;title&gt;La population du monde: Géants démographiques et défis internationaux&lt;/title&gt;&lt;/titles&gt;&lt;number&gt;149&lt;/number&gt;&lt;dates&gt;&lt;year&gt;2002&lt;/year&gt;&lt;/dates&gt;&lt;pub-location&gt;Paris&lt;/pub-location&gt;&lt;publisher&gt;INED&lt;/publisher&gt;&lt;isbn&gt;2733201492&lt;/isbn&gt;&lt;urls&gt;&lt;/urls&gt;&lt;/record&gt;&lt;/Cite&gt;&lt;/EndNote&gt;</w:instrText>
      </w:r>
      <w:r w:rsidR="001B585D" w:rsidRPr="00EC2E68">
        <w:fldChar w:fldCharType="separate"/>
      </w:r>
      <w:r w:rsidRPr="00EC2E68">
        <w:rPr>
          <w:noProof/>
        </w:rPr>
        <w:t>(</w:t>
      </w:r>
      <w:hyperlink w:anchor="_ENREF_18" w:tooltip="INED, 2002 #1673" w:history="1">
        <w:r w:rsidRPr="00EC2E68">
          <w:rPr>
            <w:noProof/>
          </w:rPr>
          <w:t>INED, 2002</w:t>
        </w:r>
      </w:hyperlink>
      <w:r w:rsidRPr="00EC2E68">
        <w:rPr>
          <w:noProof/>
        </w:rPr>
        <w:t>)</w:t>
      </w:r>
      <w:r w:rsidR="001B585D" w:rsidRPr="00EC2E68">
        <w:fldChar w:fldCharType="end"/>
      </w:r>
      <w:r w:rsidRPr="00EC2E68">
        <w:t>. En effet, plus les taux de dépendance baissent,</w:t>
      </w:r>
      <w:r w:rsidR="003A6B9D">
        <w:t xml:space="preserve"> et en particulier les rapports de dépendance économique,</w:t>
      </w:r>
      <w:r w:rsidRPr="00EC2E68">
        <w:t xml:space="preserve"> les travailleurs plus nombreux sont capables de réduire leurs dépenses en faveur des enfants et des personnes âgées, afin de consacrer une grande part de leurs revenus à l’épargne, qui alimentera par la suite les investissements </w:t>
      </w:r>
      <w:r w:rsidR="001B585D" w:rsidRPr="00EC2E68">
        <w:fldChar w:fldCharType="begin"/>
      </w:r>
      <w:r w:rsidRPr="00EC2E68">
        <w:instrText xml:space="preserve"> ADDIN EN.CITE &lt;EndNote&gt;&lt;Cite&gt;&lt;Author&gt;Guengant&lt;/Author&gt;&lt;Year&gt;2011&lt;/Year&gt;&lt;RecNum&gt;1231&lt;/RecNum&gt;&lt;DisplayText&gt;(Guengant, 2011)&lt;/DisplayText&gt;&lt;record&gt;&lt;rec-number&gt;1231&lt;/rec-number&gt;&lt;foreign-keys&gt;&lt;key app="EN" db-id="rp90rxe0lfwt04ewwrups2vqpf2xffxfw022" timestamp="1404157023"&gt;1231&lt;/key&gt;&lt;/foreign-keys&gt;&lt;ref-type name="Report"&gt;27&lt;/ref-type&gt;&lt;contributors&gt;&lt;authors&gt;&lt;author&gt;Guengant, J.-P.&lt;/author&gt;&lt;/authors&gt;&lt;/contributors&gt;&lt;titles&gt;&lt;title&gt;Comment bénéficier du dividende démographique? Analyse pays Burkina Faso&lt;/title&gt;&lt;/titles&gt;&lt;pages&gt;54&lt;/pages&gt;&lt;dates&gt;&lt;year&gt;2011&lt;/year&gt;&lt;/dates&gt;&lt;pub-location&gt;Ouagadougou&lt;/pub-location&gt;&lt;publisher&gt;Agence Française de Développement&lt;/publisher&gt;&lt;urls&gt;&lt;/urls&gt;&lt;/record&gt;&lt;/Cite&gt;&lt;/EndNote&gt;</w:instrText>
      </w:r>
      <w:r w:rsidR="001B585D" w:rsidRPr="00EC2E68">
        <w:fldChar w:fldCharType="separate"/>
      </w:r>
      <w:r w:rsidRPr="00EC2E68">
        <w:rPr>
          <w:noProof/>
        </w:rPr>
        <w:t>(</w:t>
      </w:r>
      <w:hyperlink w:anchor="_ENREF_17" w:tooltip="Guengant, 2011 #1231" w:history="1">
        <w:r w:rsidRPr="00EC2E68">
          <w:rPr>
            <w:noProof/>
          </w:rPr>
          <w:t>Guengant, 2011</w:t>
        </w:r>
      </w:hyperlink>
      <w:r w:rsidRPr="00EC2E68">
        <w:rPr>
          <w:noProof/>
        </w:rPr>
        <w:t>)</w:t>
      </w:r>
      <w:r w:rsidR="001B585D" w:rsidRPr="00EC2E68">
        <w:fldChar w:fldCharType="end"/>
      </w:r>
      <w:r w:rsidRPr="00EC2E68">
        <w:t xml:space="preserve">. La baisse du rapport de dépendance constitue </w:t>
      </w:r>
      <w:r w:rsidR="003A6B9D">
        <w:t xml:space="preserve">donc </w:t>
      </w:r>
      <w:r w:rsidRPr="00EC2E68">
        <w:t xml:space="preserve">une période propice pour des investissements massifs susceptibles d’accélérer la croissance économique et de dégager des réserves nécessaires à la prise en charge de personnes âgées dont le nombre augmenterait par la suite </w:t>
      </w:r>
      <w:r w:rsidR="001B585D" w:rsidRPr="00EC2E68">
        <w:fldChar w:fldCharType="begin"/>
      </w:r>
      <w:r w:rsidRPr="00EC2E68">
        <w:instrText xml:space="preserve"> ADDIN EN.CITE &lt;EndNote&gt;&lt;Cite&gt;&lt;Author&gt;Davis&lt;/Author&gt;&lt;Year&gt;1963&lt;/Year&gt;&lt;RecNum&gt;1686&lt;/RecNum&gt;&lt;DisplayText&gt;(Davis, 1963)&lt;/DisplayText&gt;&lt;record&gt;&lt;rec-number&gt;1686&lt;/rec-number&gt;&lt;foreign-keys&gt;&lt;key app="EN" db-id="rp90rxe0lfwt04ewwrups2vqpf2xffxfw022" timestamp="1479467650"&gt;1686&lt;/key&gt;&lt;/foreign-keys&gt;&lt;ref-type name="Journal Article"&gt;17&lt;/ref-type&gt;&lt;contributors&gt;&lt;authors&gt;&lt;author&gt;Davis, Kingsley&lt;/author&gt;&lt;/authors&gt;&lt;/contributors&gt;&lt;titles&gt;&lt;title&gt;The theory of change and response in modern demographic history&lt;/title&gt;&lt;secondary-title&gt;Population index&lt;/secondary-title&gt;&lt;/titles&gt;&lt;periodical&gt;&lt;full-title&gt;Population index&lt;/full-title&gt;&lt;/periodical&gt;&lt;pages&gt;345&lt;/pages&gt;&lt;volume&gt;29&lt;/volume&gt;&lt;number&gt;4&lt;/number&gt;&lt;dates&gt;&lt;year&gt;1963&lt;/year&gt;&lt;/dates&gt;&lt;isbn&gt;0032-4701&lt;/isbn&gt;&lt;urls&gt;&lt;/urls&gt;&lt;/record&gt;&lt;/Cite&gt;&lt;/EndNote&gt;</w:instrText>
      </w:r>
      <w:r w:rsidR="001B585D" w:rsidRPr="00EC2E68">
        <w:fldChar w:fldCharType="separate"/>
      </w:r>
      <w:r w:rsidRPr="00EC2E68">
        <w:rPr>
          <w:noProof/>
        </w:rPr>
        <w:t>(</w:t>
      </w:r>
      <w:hyperlink w:anchor="_ENREF_13" w:tooltip="Davis, 1963 #1686" w:history="1">
        <w:r w:rsidRPr="00EC2E68">
          <w:rPr>
            <w:noProof/>
          </w:rPr>
          <w:t>Davis, 1963</w:t>
        </w:r>
      </w:hyperlink>
      <w:r w:rsidRPr="00EC2E68">
        <w:rPr>
          <w:noProof/>
        </w:rPr>
        <w:t>)</w:t>
      </w:r>
      <w:r w:rsidR="001B585D" w:rsidRPr="00EC2E68">
        <w:fldChar w:fldCharType="end"/>
      </w:r>
      <w:r w:rsidRPr="00EC2E68">
        <w:t xml:space="preserve">. Cette période de baisse du rapport de dépendance ouvre une fenêtre d’opportunité permettant de profiter du premier dividende démographique. La durée de cette période (la fenêtre d’opportunité) s’étale sur environ 50 ans jusqu’à ce que les générations de travailleurs nombreux se rapprochent de l’âge à la retraite </w:t>
      </w:r>
      <w:r w:rsidR="001B585D" w:rsidRPr="00EC2E68">
        <w:fldChar w:fldCharType="begin"/>
      </w:r>
      <w:r w:rsidRPr="00EC2E68">
        <w:instrText xml:space="preserve"> ADDIN EN.CITE &lt;EndNote&gt;&lt;Cite&gt;&lt;Author&gt;Bloom&lt;/Author&gt;&lt;Year&gt;2003&lt;/Year&gt;&lt;RecNum&gt;1647&lt;/RecNum&gt;&lt;DisplayText&gt;(Bloom et al., 2003)&lt;/DisplayText&gt;&lt;record&gt;&lt;rec-number&gt;1647&lt;/rec-number&gt;&lt;foreign-keys&gt;&lt;key app="EN" db-id="rp90rxe0lfwt04ewwrups2vqpf2xffxfw022" timestamp="1479138114"&gt;1647&lt;/key&gt;&lt;/foreign-keys&gt;&lt;ref-type name="Book"&gt;6&lt;/ref-type&gt;&lt;contributors&gt;&lt;authors&gt;&lt;author&gt;Bloom, D.&lt;/author&gt;&lt;author&gt;Canning, D.&lt;/author&gt;&lt;author&gt;Sevilla, J.&lt;/author&gt;&lt;/authors&gt;&lt;/contributors&gt;&lt;titles&gt;&lt;title&gt;The demographic dividend: A new perspective on the economic consequences of population change&lt;/title&gt;&lt;/titles&gt;&lt;pages&gt;107&lt;/pages&gt;&lt;dates&gt;&lt;year&gt;2003&lt;/year&gt;&lt;/dates&gt;&lt;pub-location&gt;Santa Monica&lt;/pub-location&gt;&lt;publisher&gt;Rand Corporation&lt;/publisher&gt;&lt;isbn&gt;0833033735&lt;/isbn&gt;&lt;urls&gt;&lt;/urls&gt;&lt;/record&gt;&lt;/Cite&gt;&lt;/EndNote&gt;</w:instrText>
      </w:r>
      <w:r w:rsidR="001B585D" w:rsidRPr="00EC2E68">
        <w:fldChar w:fldCharType="separate"/>
      </w:r>
      <w:r w:rsidRPr="00EC2E68">
        <w:rPr>
          <w:noProof/>
        </w:rPr>
        <w:t>(</w:t>
      </w:r>
      <w:hyperlink w:anchor="_ENREF_4" w:tooltip="Bloom, 2003 #1647" w:history="1">
        <w:r w:rsidRPr="00EC2E68">
          <w:rPr>
            <w:noProof/>
          </w:rPr>
          <w:t>Bloom et al., 2003</w:t>
        </w:r>
      </w:hyperlink>
      <w:r w:rsidRPr="00EC2E68">
        <w:rPr>
          <w:noProof/>
        </w:rPr>
        <w:t>)</w:t>
      </w:r>
      <w:r w:rsidR="001B585D" w:rsidRPr="00EC2E68">
        <w:fldChar w:fldCharType="end"/>
      </w:r>
      <w:r w:rsidRPr="00EC2E68">
        <w:t xml:space="preserve">. En fin de compte, le vieillissement de travailleurs nombreux ouvre la période du second dividende démographique. Cette période est marquée par une génération des personnes âgées ayant une forte chance de vivre longuement la retraite et pouvant être fortement incitée à épargner et à accumuler des actifs </w:t>
      </w:r>
      <w:r w:rsidR="001B585D" w:rsidRPr="00EC2E68">
        <w:fldChar w:fldCharType="begin"/>
      </w:r>
      <w:r w:rsidRPr="00EC2E68">
        <w:instrText xml:space="preserve"> ADDIN EN.CITE &lt;EndNote&gt;&lt;Cite&gt;&lt;Author&gt;Bloom&lt;/Author&gt;&lt;Year&gt;2003&lt;/Year&gt;&lt;RecNum&gt;1647&lt;/RecNum&gt;&lt;DisplayText&gt;(Bloom et al., 2003, Guengant, 2011)&lt;/DisplayText&gt;&lt;record&gt;&lt;rec-number&gt;1647&lt;/rec-number&gt;&lt;foreign-keys&gt;&lt;key app="EN" db-id="rp90rxe0lfwt04ewwrups2vqpf2xffxfw022" timestamp="1479138114"&gt;1647&lt;/key&gt;&lt;/foreign-keys&gt;&lt;ref-type name="Book"&gt;6&lt;/ref-type&gt;&lt;contributors&gt;&lt;authors&gt;&lt;author&gt;Bloom, D.&lt;/author&gt;&lt;author&gt;Canning, D.&lt;/author&gt;&lt;author&gt;Sevilla, J.&lt;/author&gt;&lt;/authors&gt;&lt;/contributors&gt;&lt;titles&gt;&lt;title&gt;The demographic dividend: A new perspective on the economic consequences of population change&lt;/title&gt;&lt;/titles&gt;&lt;pages&gt;107&lt;/pages&gt;&lt;dates&gt;&lt;year&gt;2003&lt;/year&gt;&lt;/dates&gt;&lt;pub-location&gt;Santa Monica&lt;/pub-location&gt;&lt;publisher&gt;Rand Corporation&lt;/publisher&gt;&lt;isbn&gt;0833033735&lt;/isbn&gt;&lt;urls&gt;&lt;/urls&gt;&lt;/record&gt;&lt;/Cite&gt;&lt;Cite&gt;&lt;Author&gt;Guengant&lt;/Author&gt;&lt;Year&gt;2011&lt;/Year&gt;&lt;RecNum&gt;1231&lt;/RecNum&gt;&lt;record&gt;&lt;rec-number&gt;1231&lt;/rec-number&gt;&lt;foreign-keys&gt;&lt;key app="EN" db-id="rp90rxe0lfwt04ewwrups2vqpf2xffxfw022" timestamp="1404157023"&gt;1231&lt;/key&gt;&lt;/foreign-keys&gt;&lt;ref-type name="Report"&gt;27&lt;/ref-type&gt;&lt;contributors&gt;&lt;authors&gt;&lt;author&gt;Guengant, J.-P.&lt;/author&gt;&lt;/authors&gt;&lt;/contributors&gt;&lt;titles&gt;&lt;title&gt;Comment bénéficier du dividende démographique? Analyse pays Burkina Faso&lt;/title&gt;&lt;/titles&gt;&lt;pages&gt;54&lt;/pages&gt;&lt;dates&gt;&lt;year&gt;2011&lt;/year&gt;&lt;/dates&gt;&lt;pub-location&gt;Ouagadougou&lt;/pub-location&gt;&lt;publisher&gt;Agence Française de Développement&lt;/publisher&gt;&lt;urls&gt;&lt;/urls&gt;&lt;/record&gt;&lt;/Cite&gt;&lt;/EndNote&gt;</w:instrText>
      </w:r>
      <w:r w:rsidR="001B585D" w:rsidRPr="00EC2E68">
        <w:fldChar w:fldCharType="separate"/>
      </w:r>
      <w:r w:rsidRPr="00EC2E68">
        <w:rPr>
          <w:noProof/>
        </w:rPr>
        <w:t>(</w:t>
      </w:r>
      <w:hyperlink w:anchor="_ENREF_4" w:tooltip="Bloom, 2003 #1647" w:history="1">
        <w:r w:rsidRPr="00EC2E68">
          <w:rPr>
            <w:noProof/>
          </w:rPr>
          <w:t>Bloom et al., 2003</w:t>
        </w:r>
      </w:hyperlink>
      <w:r w:rsidRPr="00EC2E68">
        <w:rPr>
          <w:noProof/>
        </w:rPr>
        <w:t xml:space="preserve">, </w:t>
      </w:r>
      <w:hyperlink w:anchor="_ENREF_17" w:tooltip="Guengant, 2011 #1231" w:history="1">
        <w:r w:rsidRPr="00EC2E68">
          <w:rPr>
            <w:noProof/>
          </w:rPr>
          <w:t>Guengant, 2011</w:t>
        </w:r>
      </w:hyperlink>
      <w:r w:rsidRPr="00EC2E68">
        <w:rPr>
          <w:noProof/>
        </w:rPr>
        <w:t>)</w:t>
      </w:r>
      <w:r w:rsidR="001B585D" w:rsidRPr="00EC2E68">
        <w:fldChar w:fldCharType="end"/>
      </w:r>
      <w:r w:rsidRPr="00EC2E68">
        <w:t>.</w:t>
      </w:r>
    </w:p>
    <w:p w:rsidR="00004210" w:rsidRDefault="00AE6C6F" w:rsidP="00857041">
      <w:pPr>
        <w:spacing w:before="120" w:line="276" w:lineRule="auto"/>
        <w:jc w:val="both"/>
      </w:pPr>
      <w:r w:rsidRPr="00EC2E68">
        <w:t xml:space="preserve">Les </w:t>
      </w:r>
      <w:r w:rsidR="00857041">
        <w:t>résultats</w:t>
      </w:r>
      <w:r w:rsidRPr="00EC2E68">
        <w:t xml:space="preserve"> des recensements généraux de la population et de l’habitat (</w:t>
      </w:r>
      <w:r w:rsidR="00857041">
        <w:t>1976, 1987</w:t>
      </w:r>
      <w:r w:rsidRPr="00EC2E68">
        <w:t xml:space="preserve"> et </w:t>
      </w:r>
      <w:r w:rsidR="00857041">
        <w:t>2005</w:t>
      </w:r>
      <w:r w:rsidRPr="00EC2E68">
        <w:t xml:space="preserve">) </w:t>
      </w:r>
      <w:r w:rsidR="00857041">
        <w:t>montrent</w:t>
      </w:r>
      <w:r w:rsidRPr="00EC2E68">
        <w:t xml:space="preserve"> que le Cameroun se caractérise par une population très jeune. Toutefois, eu égard notamment au contexte politique, socio-économique et culturel, la structure de la population ne pourrait rester constante </w:t>
      </w:r>
      <w:r w:rsidR="001B585D" w:rsidRPr="00EC2E68">
        <w:fldChar w:fldCharType="begin"/>
      </w:r>
      <w:r w:rsidRPr="00EC2E68">
        <w:instrText xml:space="preserve"> ADDIN EN.CITE &lt;EndNote&gt;&lt;Cite&gt;&lt;Author&gt;Schoumaker&lt;/Author&gt;&lt;Year&gt;2004&lt;/Year&gt;&lt;RecNum&gt;1634&lt;/RecNum&gt;&lt;DisplayText&gt;(Schoumaker, 2004)&lt;/DisplayText&gt;&lt;record&gt;&lt;rec-number&gt;1634&lt;/rec-number&gt;&lt;foreign-keys&gt;&lt;key app="EN" db-id="rp90rxe0lfwt04ewwrups2vqpf2xffxfw022" timestamp="1438195163"&gt;1634&lt;/key&gt;&lt;/foreign-keys&gt;&lt;ref-type name="Journal Article"&gt;17&lt;/ref-type&gt;&lt;contributors&gt;&lt;authors&gt;&lt;author&gt;Schoumaker, B.&lt;/author&gt;&lt;/authors&gt;&lt;/contributors&gt;&lt;titles&gt;&lt;title&gt;Pauvreté et fécondité en Afrique sub-saharienne: une analyse comparative des enquêtes démographiques et de santé&lt;/title&gt;&lt;secondary-title&gt;African Population Studies&lt;/secondary-title&gt;&lt;/titles&gt;&lt;periodical&gt;&lt;full-title&gt;African Population Studies&lt;/full-title&gt;&lt;/periodical&gt;&lt;pages&gt;13-45&lt;/pages&gt;&lt;volume&gt;19&lt;/volume&gt;&lt;dates&gt;&lt;year&gt;2004&lt;/year&gt;&lt;/dates&gt;&lt;urls&gt;&lt;/urls&gt;&lt;/record&gt;&lt;/Cite&gt;&lt;/EndNote&gt;</w:instrText>
      </w:r>
      <w:r w:rsidR="001B585D" w:rsidRPr="00EC2E68">
        <w:fldChar w:fldCharType="separate"/>
      </w:r>
      <w:r w:rsidRPr="00EC2E68">
        <w:rPr>
          <w:noProof/>
        </w:rPr>
        <w:t>(</w:t>
      </w:r>
      <w:hyperlink w:anchor="_ENREF_37" w:tooltip="Schoumaker, 2004 #1634" w:history="1">
        <w:r w:rsidRPr="00EC2E68">
          <w:rPr>
            <w:noProof/>
          </w:rPr>
          <w:t>Schoumaker, 2004</w:t>
        </w:r>
      </w:hyperlink>
      <w:r w:rsidRPr="00EC2E68">
        <w:rPr>
          <w:noProof/>
        </w:rPr>
        <w:t>)</w:t>
      </w:r>
      <w:r w:rsidR="001B585D" w:rsidRPr="00EC2E68">
        <w:fldChar w:fldCharType="end"/>
      </w:r>
      <w:r w:rsidRPr="00EC2E68">
        <w:t xml:space="preserve">. La population en âge de travailler connaît une augmentation. </w:t>
      </w:r>
      <w:r w:rsidRPr="006832F1">
        <w:t xml:space="preserve">Sachant qu’il existe une opportunité démographique à partir du moment où le rapport de dépendance est inférieur ou égal à 80%, un pays bénéficie d’une opportunité démographique s’il a au plus 45% de population à charge ou dépendante (moins de 15% de dépendants âgés de plus de 65 ans et moins de 30% des moins de 15 ans), et 55% de la population totale active </w:t>
      </w:r>
      <w:r w:rsidR="001B585D" w:rsidRPr="006832F1">
        <w:fldChar w:fldCharType="begin">
          <w:fldData xml:space="preserve">PEVuZE5vdGU+PENpdGU+PEF1dGhvcj5CbG9vbTwvQXV0aG9yPjxZZWFyPjIwMDM8L1llYXI+PFJl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</w:fldData>
        </w:fldChar>
      </w:r>
      <w:r w:rsidRPr="006832F1">
        <w:instrText xml:space="preserve"> ADDIN EN.CITE </w:instrText>
      </w:r>
      <w:r w:rsidR="001B585D" w:rsidRPr="006832F1">
        <w:fldChar w:fldCharType="begin">
          <w:fldData xml:space="preserve">PEVuZE5vdGU+PENpdGU+PEF1dGhvcj5CbG9vbTwvQXV0aG9yPjxZZWFyPjIwMDM8L1llYXI+PFJl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</w:fldData>
        </w:fldChar>
      </w:r>
      <w:r w:rsidRPr="006832F1">
        <w:instrText xml:space="preserve"> ADDIN EN.CITE.DATA </w:instrText>
      </w:r>
      <w:r w:rsidR="001B585D" w:rsidRPr="006832F1">
        <w:fldChar w:fldCharType="end"/>
      </w:r>
      <w:r w:rsidR="001B585D" w:rsidRPr="006832F1">
        <w:fldChar w:fldCharType="separate"/>
      </w:r>
      <w:r w:rsidRPr="006832F1">
        <w:rPr>
          <w:noProof/>
        </w:rPr>
        <w:t>(</w:t>
      </w:r>
      <w:hyperlink w:anchor="_ENREF_4" w:tooltip="Bloom, 2003 #1647" w:history="1">
        <w:r w:rsidRPr="006832F1">
          <w:rPr>
            <w:noProof/>
          </w:rPr>
          <w:t>Bloom et al., 2003</w:t>
        </w:r>
      </w:hyperlink>
      <w:r w:rsidRPr="006832F1">
        <w:rPr>
          <w:noProof/>
        </w:rPr>
        <w:t xml:space="preserve">, </w:t>
      </w:r>
      <w:hyperlink w:anchor="_ENREF_23" w:tooltip="Lee, 2007 #1674" w:history="1">
        <w:r w:rsidRPr="006832F1">
          <w:rPr>
            <w:noProof/>
          </w:rPr>
          <w:t>Lee, 2007</w:t>
        </w:r>
      </w:hyperlink>
      <w:r w:rsidRPr="006832F1">
        <w:rPr>
          <w:noProof/>
        </w:rPr>
        <w:t xml:space="preserve">, </w:t>
      </w:r>
      <w:hyperlink w:anchor="_ENREF_42" w:tooltip="Vallin, 2002 #1682" w:history="1">
        <w:r w:rsidRPr="006832F1">
          <w:rPr>
            <w:noProof/>
          </w:rPr>
          <w:t>Vallin, 2002</w:t>
        </w:r>
      </w:hyperlink>
      <w:r w:rsidRPr="006832F1">
        <w:rPr>
          <w:noProof/>
        </w:rPr>
        <w:t>)</w:t>
      </w:r>
      <w:r w:rsidR="001B585D" w:rsidRPr="006832F1">
        <w:fldChar w:fldCharType="end"/>
      </w:r>
      <w:r w:rsidRPr="006832F1">
        <w:t>.</w:t>
      </w:r>
    </w:p>
    <w:p w:rsidR="005A4D91" w:rsidRPr="005A4D91" w:rsidRDefault="002E77B6" w:rsidP="00031E04">
      <w:pPr>
        <w:pStyle w:val="Paragraphedeliste"/>
        <w:numPr>
          <w:ilvl w:val="0"/>
          <w:numId w:val="86"/>
        </w:numPr>
        <w:spacing w:before="120" w:line="276" w:lineRule="auto"/>
        <w:ind w:left="714" w:hanging="357"/>
        <w:jc w:val="both"/>
        <w:rPr>
          <w:b/>
          <w:bCs/>
        </w:rPr>
      </w:pPr>
      <w:r>
        <w:rPr>
          <w:b/>
          <w:bCs/>
        </w:rPr>
        <w:t>Variables relatives à</w:t>
      </w:r>
      <w:r w:rsidR="00E17EC4">
        <w:rPr>
          <w:b/>
          <w:bCs/>
        </w:rPr>
        <w:t xml:space="preserve"> </w:t>
      </w:r>
      <w:r>
        <w:rPr>
          <w:b/>
          <w:bCs/>
        </w:rPr>
        <w:t>l'</w:t>
      </w:r>
      <w:r w:rsidR="005A4D91" w:rsidRPr="005A4D91">
        <w:rPr>
          <w:b/>
          <w:bCs/>
        </w:rPr>
        <w:t>économi</w:t>
      </w:r>
      <w:r>
        <w:rPr>
          <w:b/>
          <w:bCs/>
        </w:rPr>
        <w:t>e</w:t>
      </w:r>
    </w:p>
    <w:p w:rsidR="00A703E6" w:rsidRDefault="002E77B6">
      <w:pPr>
        <w:spacing w:before="120" w:line="276" w:lineRule="auto"/>
        <w:jc w:val="both"/>
      </w:pPr>
      <w:r>
        <w:t>Les va</w:t>
      </w:r>
      <w:r w:rsidR="008D1417">
        <w:t>riables relatives à l'économie, au nombre de cinq, portent sur l'investissement, le stock</w:t>
      </w:r>
      <w:r w:rsidR="00551109">
        <w:t xml:space="preserve"> de capital</w:t>
      </w:r>
      <w:r w:rsidR="008D1417">
        <w:t>, le produit intérieur brut, le produit intérieur brut</w:t>
      </w:r>
      <w:r w:rsidR="00515CA0">
        <w:t xml:space="preserve"> par </w:t>
      </w:r>
      <w:r w:rsidR="00B90AC8">
        <w:t>habitant</w:t>
      </w:r>
      <w:r w:rsidR="008D1417">
        <w:t>, l'emploi et la population active. Ces variables sont parmi les plus susceptibles de participer à l'environnement conduisant au dividende démographique.</w:t>
      </w:r>
    </w:p>
    <w:p w:rsidR="005A4D91" w:rsidRPr="00543B34" w:rsidRDefault="005A4D91" w:rsidP="00031E04">
      <w:pPr>
        <w:pStyle w:val="Paragraphedeliste"/>
        <w:numPr>
          <w:ilvl w:val="0"/>
          <w:numId w:val="87"/>
        </w:numPr>
        <w:spacing w:before="120"/>
        <w:ind w:left="1418" w:hanging="992"/>
        <w:rPr>
          <w:bCs/>
          <w:u w:val="single"/>
        </w:rPr>
      </w:pPr>
      <w:r w:rsidRPr="00543B34">
        <w:rPr>
          <w:bCs/>
          <w:u w:val="single"/>
        </w:rPr>
        <w:lastRenderedPageBreak/>
        <w:t xml:space="preserve">Investissement </w:t>
      </w:r>
      <w:r w:rsidR="00543B34" w:rsidRPr="00543B34">
        <w:rPr>
          <w:bCs/>
          <w:u w:val="single"/>
        </w:rPr>
        <w:t>accumulation du capital</w:t>
      </w:r>
    </w:p>
    <w:p w:rsidR="005A4D91" w:rsidRPr="00EC2E68" w:rsidRDefault="00B974AD" w:rsidP="008D1417">
      <w:pPr>
        <w:spacing w:before="120" w:line="276" w:lineRule="auto"/>
        <w:jc w:val="both"/>
      </w:pPr>
      <w:r>
        <w:t xml:space="preserve">En général en économie, la définition de l’investissement renvoie à celle du capital. D’après le </w:t>
      </w:r>
      <w:r w:rsidR="00116899" w:rsidRPr="00A94B37">
        <w:t>Dictionnaire d’économie et de sciences sociales (2014),</w:t>
      </w:r>
      <w:r>
        <w:t xml:space="preserve"> l’investissement du capital se définit comme étant un flux qui vient renouveler ou accroît</w:t>
      </w:r>
      <w:r w:rsidR="00750D3F">
        <w:t>re le stock de capital.</w:t>
      </w:r>
      <w:r>
        <w:t xml:space="preserve"> Le capital</w:t>
      </w:r>
      <w:r w:rsidR="00750D3F">
        <w:t>,</w:t>
      </w:r>
      <w:r>
        <w:t xml:space="preserve"> quant à lui</w:t>
      </w:r>
      <w:r w:rsidR="00750D3F">
        <w:t>,</w:t>
      </w:r>
      <w:r>
        <w:t xml:space="preserve"> est défini comme « toute richesse provenant de l’épargne ou de l’emprunt qui ne sert pas à la consommation immédiate mais qui est destinée à la production de nouveaux biens ou d’un revenu ». </w:t>
      </w:r>
      <w:r w:rsidR="005A4D91" w:rsidRPr="00EC2E68">
        <w:t xml:space="preserve">Il est reconnu en économie d’après la théorie keynésienne que la croissance peut être relancée en stimulant soit l’investissement, soit la consommation. Ainsi, dans un contexte marqué par un faible dynamisme des secteurs secondaire et tertiaire, un faible investissement (public et privé) ne saurait engendrer une croissance économique. Or le Cameroun enregistre un faible investissement (en pourcentage du PIB), qui de surcroît, est en baisse continue depuis le début de la décennie 2000 </w:t>
      </w:r>
      <w:r w:rsidR="001B585D" w:rsidRPr="00EC2E68">
        <w:fldChar w:fldCharType="begin"/>
      </w:r>
      <w:r w:rsidR="005A4D91" w:rsidRPr="00EC2E68">
        <w:instrText xml:space="preserve"> ADDIN EN.CITE &lt;EndNote&gt;&lt;Cite&gt;&lt;Author&gt;Chauvin&lt;/Author&gt;&lt;Year&gt;2012&lt;/Year&gt;&lt;RecNum&gt;1706&lt;/RecNum&gt;&lt;DisplayText&gt;(Chauvin, 2012)&lt;/DisplayText&gt;&lt;record&gt;&lt;rec-number&gt;1706&lt;/rec-number&gt;&lt;foreign-keys&gt;&lt;key app="EN" db-id="rp90rxe0lfwt04ewwrups2vqpf2xffxfw022" timestamp="1479719813"&gt;1706&lt;/key&gt;&lt;/foreign-keys&gt;&lt;ref-type name="Journal Article"&gt;17&lt;/ref-type&gt;&lt;contributors&gt;&lt;authors&gt;&lt;author&gt;Chauvin, Sophie&lt;/author&gt;&lt;/authors&gt;&lt;/contributors&gt;&lt;titles&gt;&lt;title&gt;Cameroun: Les enjeux de la croissance&lt;/title&gt;&lt;secondary-title&gt;Macroéconomie et Développement&lt;/secondary-title&gt;&lt;/titles&gt;&lt;periodical&gt;&lt;full-title&gt;Macroéconomie et Développement&lt;/full-title&gt;&lt;/periodical&gt;&lt;pages&gt;1-28&lt;/pages&gt;&lt;volume&gt;1&lt;/volume&gt;&lt;number&gt;6&lt;/number&gt;&lt;dates&gt;&lt;year&gt;2012&lt;/year&gt;&lt;/dates&gt;&lt;urls&gt;&lt;/urls&gt;&lt;/record&gt;&lt;/Cite&gt;&lt;/EndNote&gt;</w:instrText>
      </w:r>
      <w:r w:rsidR="001B585D" w:rsidRPr="00EC2E68">
        <w:fldChar w:fldCharType="separate"/>
      </w:r>
      <w:r w:rsidR="005A4D91" w:rsidRPr="00EC2E68">
        <w:rPr>
          <w:noProof/>
        </w:rPr>
        <w:t>(</w:t>
      </w:r>
      <w:hyperlink w:anchor="_ENREF_10" w:tooltip="Chauvin, 2012 #1706" w:history="1">
        <w:r w:rsidR="005A4D91" w:rsidRPr="00EC2E68">
          <w:rPr>
            <w:noProof/>
          </w:rPr>
          <w:t>Chauvin, 2012</w:t>
        </w:r>
      </w:hyperlink>
      <w:r w:rsidR="005A4D91" w:rsidRPr="00EC2E68">
        <w:rPr>
          <w:noProof/>
        </w:rPr>
        <w:t>)</w:t>
      </w:r>
      <w:r w:rsidR="001B585D" w:rsidRPr="00EC2E68">
        <w:fldChar w:fldCharType="end"/>
      </w:r>
      <w:r w:rsidR="005A4D91" w:rsidRPr="00EC2E68">
        <w:t>.</w:t>
      </w:r>
      <w:r w:rsidR="00542BF1">
        <w:t xml:space="preserve"> L'investissement sera mesuré par la formation du capital par tête</w:t>
      </w:r>
      <w:r w:rsidR="002836E5">
        <w:t xml:space="preserve"> ou investissement par tête</w:t>
      </w:r>
      <w:r w:rsidR="00761845">
        <w:t xml:space="preserve">, qui </w:t>
      </w:r>
      <w:r w:rsidR="00542BF1">
        <w:t>est estimée à 178,5 dollars US en 2010 (</w:t>
      </w:r>
      <w:r w:rsidR="002836E5">
        <w:t xml:space="preserve">Banque </w:t>
      </w:r>
      <w:r w:rsidR="004D6145">
        <w:t>m</w:t>
      </w:r>
      <w:r w:rsidR="002836E5">
        <w:t>ondiale</w:t>
      </w:r>
      <w:r w:rsidR="004D6145">
        <w:t>, 2010</w:t>
      </w:r>
      <w:r w:rsidR="002836E5">
        <w:t>).</w:t>
      </w:r>
    </w:p>
    <w:p w:rsidR="005A4D91" w:rsidRPr="00543B34" w:rsidRDefault="005A4D91" w:rsidP="00031E04">
      <w:pPr>
        <w:pStyle w:val="Paragraphedeliste"/>
        <w:numPr>
          <w:ilvl w:val="0"/>
          <w:numId w:val="88"/>
        </w:numPr>
        <w:spacing w:before="120"/>
        <w:ind w:left="1418" w:hanging="992"/>
        <w:rPr>
          <w:bCs/>
          <w:u w:val="single"/>
        </w:rPr>
      </w:pPr>
      <w:r w:rsidRPr="00543B34">
        <w:rPr>
          <w:bCs/>
          <w:u w:val="single"/>
        </w:rPr>
        <w:t>Stock de capital</w:t>
      </w:r>
    </w:p>
    <w:p w:rsidR="00B974AD" w:rsidRDefault="00B974AD" w:rsidP="00B974AD">
      <w:pPr>
        <w:spacing w:before="120" w:line="276" w:lineRule="auto"/>
        <w:jc w:val="both"/>
      </w:pPr>
      <w:r>
        <w:t>En opposition à un flux qui se définit comme étant une grandeur économique mesurée au cours d’une période donnée, le stock est une grandeur économique mesurée à un moment donné. Le stock de capital est donc une mesure à un moment donné de toute richesse provenant soit de l’épargne</w:t>
      </w:r>
      <w:r w:rsidR="00F13C9D">
        <w:t>,</w:t>
      </w:r>
      <w:r>
        <w:t xml:space="preserve"> soit de l’emprunt, et ne servant pas à la consommation immédiate, mais destinée à produire d’autres biens. Comme l’illustre la figure</w:t>
      </w:r>
      <w:r w:rsidR="0087417D">
        <w:t xml:space="preserve"> 4</w:t>
      </w:r>
      <w:r>
        <w:t xml:space="preserve">, le stock de capital public </w:t>
      </w:r>
      <w:r w:rsidR="00761845">
        <w:t xml:space="preserve">au Cameroun </w:t>
      </w:r>
      <w:r>
        <w:t>est en croissance continue au moins depuis 2013, laquelle croissance se poursuivra d’après les proj</w:t>
      </w:r>
      <w:r w:rsidR="0087417D">
        <w:t>ections de la Banque m</w:t>
      </w:r>
      <w:r>
        <w:t>ondiale, au moins jusqu’en 2020.</w:t>
      </w:r>
    </w:p>
    <w:p w:rsidR="00B974AD" w:rsidRDefault="00B974AD" w:rsidP="00B974AD">
      <w:pPr>
        <w:spacing w:before="120" w:line="276" w:lineRule="auto"/>
        <w:jc w:val="both"/>
      </w:pPr>
    </w:p>
    <w:p w:rsidR="00A703E6" w:rsidRDefault="001F14BC" w:rsidP="009B11F1">
      <w:pPr>
        <w:pStyle w:val="Lgende"/>
        <w:spacing w:after="100"/>
      </w:pPr>
      <w:bookmarkStart w:id="33" w:name="_Toc479007714"/>
      <w:r>
        <w:t xml:space="preserve">Figure </w:t>
      </w:r>
      <w:r w:rsidR="001B585D">
        <w:fldChar w:fldCharType="begin"/>
      </w:r>
      <w:r>
        <w:instrText xml:space="preserve"> SEQ Figure \* ARABIC </w:instrText>
      </w:r>
      <w:r w:rsidR="001B585D">
        <w:fldChar w:fldCharType="separate"/>
      </w:r>
      <w:r w:rsidR="00CE2B53">
        <w:rPr>
          <w:noProof/>
        </w:rPr>
        <w:t>4</w:t>
      </w:r>
      <w:r w:rsidR="001B585D">
        <w:fldChar w:fldCharType="end"/>
      </w:r>
      <w:r>
        <w:t xml:space="preserve">: </w:t>
      </w:r>
      <w:r w:rsidRPr="00A10294">
        <w:t>Stock de c</w:t>
      </w:r>
      <w:r w:rsidR="00D43463">
        <w:t>apital public (en milliards FCFA</w:t>
      </w:r>
      <w:r w:rsidRPr="00A10294">
        <w:t>)</w:t>
      </w:r>
      <w:r>
        <w:t xml:space="preserve"> au Cameroun</w:t>
      </w:r>
      <w:r w:rsidRPr="00A10294">
        <w:t>.</w:t>
      </w:r>
      <w:bookmarkEnd w:id="33"/>
    </w:p>
    <w:p w:rsidR="00A703E6" w:rsidRDefault="00A703E6"/>
    <w:p w:rsidR="00A703E6" w:rsidRDefault="00A703E6">
      <w:r>
        <w:rPr>
          <w:noProof/>
        </w:rPr>
        <w:drawing>
          <wp:anchor distT="0" distB="0" distL="114300" distR="114300" simplePos="0" relativeHeight="251700224" behindDoc="0" locked="0" layoutInCell="1" allowOverlap="1">
            <wp:simplePos x="0" y="0"/>
            <wp:positionH relativeFrom="column">
              <wp:align>left</wp:align>
            </wp:positionH>
            <wp:positionV relativeFrom="paragraph">
              <wp:align>top</wp:align>
            </wp:positionV>
            <wp:extent cx="4991100" cy="2743200"/>
            <wp:effectExtent l="19050" t="0" r="19050" b="0"/>
            <wp:wrapSquare wrapText="bothSides"/>
            <wp:docPr id="2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B974AD" w:rsidRDefault="00B974AD" w:rsidP="00B974AD">
      <w:pPr>
        <w:spacing w:before="120" w:line="276" w:lineRule="auto"/>
        <w:jc w:val="both"/>
      </w:pPr>
    </w:p>
    <w:p w:rsidR="00B974AD" w:rsidRDefault="00B974AD" w:rsidP="00B974AD">
      <w:pPr>
        <w:spacing w:before="120" w:line="276" w:lineRule="auto"/>
        <w:jc w:val="both"/>
      </w:pPr>
    </w:p>
    <w:p w:rsidR="00B974AD" w:rsidRDefault="00B974AD" w:rsidP="00B974AD">
      <w:pPr>
        <w:spacing w:before="120" w:line="276" w:lineRule="auto"/>
        <w:jc w:val="both"/>
      </w:pPr>
    </w:p>
    <w:p w:rsidR="00A703E6" w:rsidRDefault="00A703E6"/>
    <w:p w:rsidR="00A703E6" w:rsidRDefault="00A703E6"/>
    <w:p w:rsidR="00A703E6" w:rsidRDefault="00A703E6"/>
    <w:p w:rsidR="00A703E6" w:rsidRDefault="00A703E6"/>
    <w:p w:rsidR="00A703E6" w:rsidRDefault="00A703E6"/>
    <w:p w:rsidR="00A703E6" w:rsidRDefault="00A703E6"/>
    <w:p w:rsidR="00A703E6" w:rsidRDefault="00A703E6"/>
    <w:p w:rsidR="00B974AD" w:rsidRDefault="00B974AD" w:rsidP="002836E5">
      <w:pPr>
        <w:spacing w:before="120" w:line="276" w:lineRule="auto"/>
        <w:jc w:val="both"/>
      </w:pPr>
    </w:p>
    <w:p w:rsidR="00B974AD" w:rsidRDefault="00B974AD" w:rsidP="002836E5">
      <w:pPr>
        <w:spacing w:before="120" w:line="276" w:lineRule="auto"/>
        <w:jc w:val="both"/>
      </w:pPr>
    </w:p>
    <w:p w:rsidR="009D0363" w:rsidRDefault="009D0363">
      <w:r>
        <w:br w:type="page"/>
      </w:r>
    </w:p>
    <w:p w:rsidR="005A4D91" w:rsidRPr="00543B34" w:rsidRDefault="005A4D91" w:rsidP="00031E04">
      <w:pPr>
        <w:pStyle w:val="Paragraphedeliste"/>
        <w:numPr>
          <w:ilvl w:val="0"/>
          <w:numId w:val="89"/>
        </w:numPr>
        <w:spacing w:before="120"/>
        <w:rPr>
          <w:bCs/>
          <w:u w:val="single"/>
        </w:rPr>
      </w:pPr>
      <w:r w:rsidRPr="00543B34">
        <w:rPr>
          <w:bCs/>
          <w:u w:val="single"/>
        </w:rPr>
        <w:lastRenderedPageBreak/>
        <w:t>Produit intérieur brut</w:t>
      </w:r>
      <w:r w:rsidR="001C2538" w:rsidRPr="00543B34">
        <w:rPr>
          <w:bCs/>
          <w:u w:val="single"/>
        </w:rPr>
        <w:t xml:space="preserve"> (PIB)</w:t>
      </w:r>
    </w:p>
    <w:p w:rsidR="005A4D91" w:rsidRPr="00EC2E68" w:rsidRDefault="005A4D91" w:rsidP="004F4B82">
      <w:pPr>
        <w:spacing w:before="120" w:line="276" w:lineRule="auto"/>
        <w:jc w:val="both"/>
      </w:pPr>
      <w:r w:rsidRPr="00EC2E68">
        <w:t xml:space="preserve">Il convient de rappeler que si plusieurs indicateurs sont utilisés en économie pour juger de la performance d’un pays, le PIB et son taux de croissance en sont les principaux. L’étude de l’évolution de l’économie camerounaise depuis les indépendances nous apprend que la décennie allant entre le début des années 1970 et celui des années 1980, a été qualifiée « de glorieuse », car, suite à une croissance spectaculaire sous l’effet du secteur pétrolier, le Cameroun a enregistré une embellie économique rapide </w:t>
      </w:r>
      <w:r w:rsidRPr="00EA6303">
        <w:t>avec un</w:t>
      </w:r>
      <w:r w:rsidR="004F60F4" w:rsidRPr="00EA6303">
        <w:t xml:space="preserve"> taux de croissance du</w:t>
      </w:r>
      <w:r w:rsidRPr="00EA6303">
        <w:t xml:space="preserve"> PIB</w:t>
      </w:r>
      <w:r w:rsidRPr="00EC2E68">
        <w:t xml:space="preserve"> avoisinant les deux chiffres. Cette décennie glorieuse n’a pas que suscité beaucoup d’intérêt auprès de nombreux économistes, mais les a surtout marqués et étonnés </w:t>
      </w:r>
      <w:r w:rsidR="001B585D" w:rsidRPr="00EC2E68">
        <w:fldChar w:fldCharType="begin"/>
      </w:r>
      <w:r w:rsidRPr="00EC2E68">
        <w:instrText xml:space="preserve"> ADDIN EN.CITE &lt;EndNote&gt;&lt;Cite&gt;&lt;Author&gt;Chauvin&lt;/Author&gt;&lt;Year&gt;2012&lt;/Year&gt;&lt;RecNum&gt;1706&lt;/RecNum&gt;&lt;DisplayText&gt;(Chauvin, 2012)&lt;/DisplayText&gt;&lt;record&gt;&lt;rec-number&gt;1706&lt;/rec-number&gt;&lt;foreign-keys&gt;&lt;key app="EN" db-id="rp90rxe0lfwt04ewwrups2vqpf2xffxfw022" timestamp="1479719813"&gt;1706&lt;/key&gt;&lt;/foreign-keys&gt;&lt;ref-type name="Journal Article"&gt;17&lt;/ref-type&gt;&lt;contributors&gt;&lt;authors&gt;&lt;author&gt;Chauvin, Sophie&lt;/author&gt;&lt;/authors&gt;&lt;/contributors&gt;&lt;titles&gt;&lt;title&gt;Cameroun: Les enjeux de la croissance&lt;/title&gt;&lt;secondary-title&gt;Macroéconomie et Développement&lt;/secondary-title&gt;&lt;/titles&gt;&lt;periodical&gt;&lt;full-title&gt;Macroéconomie et Développement&lt;/full-title&gt;&lt;/periodical&gt;&lt;pages&gt;1-28&lt;/pages&gt;&lt;volume&gt;1&lt;/volume&gt;&lt;number&gt;6&lt;/number&gt;&lt;dates&gt;&lt;year&gt;2012&lt;/year&gt;&lt;/dates&gt;&lt;urls&gt;&lt;/urls&gt;&lt;/record&gt;&lt;/Cite&gt;&lt;/EndNote&gt;</w:instrText>
      </w:r>
      <w:r w:rsidR="001B585D" w:rsidRPr="00EC2E68">
        <w:fldChar w:fldCharType="separate"/>
      </w:r>
      <w:r w:rsidRPr="00EC2E68">
        <w:rPr>
          <w:noProof/>
        </w:rPr>
        <w:t>(</w:t>
      </w:r>
      <w:hyperlink w:anchor="_ENREF_10" w:tooltip="Chauvin, 2012 #1706" w:history="1">
        <w:r w:rsidRPr="00EC2E68">
          <w:rPr>
            <w:noProof/>
          </w:rPr>
          <w:t>Chauvin, 2012</w:t>
        </w:r>
      </w:hyperlink>
      <w:r w:rsidRPr="00EC2E68">
        <w:rPr>
          <w:noProof/>
        </w:rPr>
        <w:t>)</w:t>
      </w:r>
      <w:r w:rsidR="001B585D" w:rsidRPr="00EC2E68">
        <w:fldChar w:fldCharType="end"/>
      </w:r>
      <w:r w:rsidRPr="00EC2E68">
        <w:t xml:space="preserve">. Sous l’effet de la crise économique </w:t>
      </w:r>
      <w:r w:rsidR="004F60F4">
        <w:t>qui a débuté en</w:t>
      </w:r>
      <w:r w:rsidRPr="00EC2E68">
        <w:t xml:space="preserve"> 1985 causée par la chute des termes de l’échange, l’atteinte du « peakoil</w:t>
      </w:r>
      <w:r w:rsidRPr="00EC2E68">
        <w:rPr>
          <w:vertAlign w:val="superscript"/>
        </w:rPr>
        <w:footnoteReference w:id="7"/>
      </w:r>
      <w:r w:rsidRPr="00EC2E68">
        <w:t> » et par la dégradation consécutive du solde budgétaire, cette décennie vertueuse a laissé place à une décennie vertigineuse, où le pays a été plongé dans un marasme économique ayant entraîné la détérioration d</w:t>
      </w:r>
      <w:r w:rsidR="004F60F4">
        <w:t>u niveau de vie des populations.</w:t>
      </w:r>
      <w:r w:rsidR="002B6037">
        <w:t xml:space="preserve"> </w:t>
      </w:r>
      <w:r w:rsidR="004F60F4">
        <w:t>Cette dernière</w:t>
      </w:r>
      <w:r w:rsidR="002B6037">
        <w:t xml:space="preserve"> </w:t>
      </w:r>
      <w:r w:rsidR="004F4B82">
        <w:t>a été accentuée</w:t>
      </w:r>
      <w:r w:rsidRPr="00EC2E68">
        <w:t xml:space="preserve"> par la baisse des salaires dans le secteur public </w:t>
      </w:r>
      <w:r w:rsidR="004F4B82">
        <w:t xml:space="preserve">d'une part, </w:t>
      </w:r>
      <w:r w:rsidRPr="00EC2E68">
        <w:t xml:space="preserve">et </w:t>
      </w:r>
      <w:r w:rsidR="00761845">
        <w:t xml:space="preserve">par </w:t>
      </w:r>
      <w:r w:rsidRPr="00EC2E68">
        <w:t>la dévaluation du Franc CFA en janvier 1994</w:t>
      </w:r>
      <w:r w:rsidR="004F4B82">
        <w:t xml:space="preserve"> d'autre part</w:t>
      </w:r>
      <w:r w:rsidRPr="00EC2E68">
        <w:t>.</w:t>
      </w:r>
    </w:p>
    <w:p w:rsidR="005A4D91" w:rsidRDefault="005A4D91" w:rsidP="001C2538">
      <w:pPr>
        <w:spacing w:before="120" w:line="276" w:lineRule="auto"/>
        <w:jc w:val="both"/>
      </w:pPr>
      <w:r w:rsidRPr="00EC2E68">
        <w:t>Après cette décennie de récession, le Cameroun a retrouvé le chemin de la croissance économiqu</w:t>
      </w:r>
      <w:r w:rsidR="001C2538">
        <w:t>e depuis l’aube des années 2000.T</w:t>
      </w:r>
      <w:r w:rsidRPr="00EC2E68">
        <w:t>outefois</w:t>
      </w:r>
      <w:r w:rsidR="001C2538">
        <w:t>,</w:t>
      </w:r>
      <w:r w:rsidRPr="00EC2E68">
        <w:t xml:space="preserve"> cette croissance semble stagner depuis plus d’une décennie, puisque le taux de croissance annuel moyen du PIB n’a jamais franchi pas la barre de 6%.</w:t>
      </w:r>
      <w:r w:rsidR="00F23D44">
        <w:t>Malgré cela,</w:t>
      </w:r>
      <w:r w:rsidR="001C2538">
        <w:t xml:space="preserve"> cette hypothèse sera maintenu</w:t>
      </w:r>
      <w:r w:rsidR="004C3B8C">
        <w:t>e</w:t>
      </w:r>
      <w:r w:rsidR="001C2538">
        <w:t xml:space="preserve"> si l'on se réfère </w:t>
      </w:r>
      <w:r w:rsidR="00761845">
        <w:t xml:space="preserve">à </w:t>
      </w:r>
      <w:r w:rsidR="001C2538">
        <w:t xml:space="preserve">la stratégie de croissance et d'emploi arrêtée par le pays et sa vision d'émergence en l'an 2035. </w:t>
      </w:r>
      <w:r w:rsidR="004C3B8C">
        <w:t>La valeur initiale de son taux de croissance est fixée à 0,029 (UN/INS/ICF international</w:t>
      </w:r>
      <w:r w:rsidR="004D6145">
        <w:t>, 2011</w:t>
      </w:r>
      <w:r w:rsidR="004C3B8C">
        <w:t>).</w:t>
      </w:r>
    </w:p>
    <w:p w:rsidR="001650CA" w:rsidRDefault="001650CA" w:rsidP="001650CA">
      <w:pPr>
        <w:spacing w:before="120" w:line="276" w:lineRule="auto"/>
        <w:jc w:val="both"/>
      </w:pPr>
      <w:r>
        <w:t xml:space="preserve">Comme on peut l’observer dans la figure </w:t>
      </w:r>
      <w:r w:rsidR="001F14BC">
        <w:t xml:space="preserve">5 </w:t>
      </w:r>
      <w:r>
        <w:t>ci-après, le PIB du Cameroun évolue en dents de scie depuis 2006. En effet, en croissance depuis 2006, le PIB au Cameroun, a connu une légère chute entre 2008 et 2011, très probablement causée par la crise financière (</w:t>
      </w:r>
      <w:proofErr w:type="spellStart"/>
      <w:r>
        <w:t>subprimes</w:t>
      </w:r>
      <w:proofErr w:type="spellEnd"/>
      <w:r>
        <w:t>). La diversité de l’économie camerounaise a d’ailleurs été identifiée comme le principal facteur ayant contribué à la résilience de cette économie, comparativement aux autres économies de la sous-région. Après 2012, l’évolution du PIB alterne une croissance, suivie d’une chute jusqu’en 2015.</w:t>
      </w:r>
    </w:p>
    <w:p w:rsidR="00D43463" w:rsidRPr="009D0363" w:rsidRDefault="009D0363" w:rsidP="009D0363">
      <w:pPr>
        <w:rPr>
          <w:color w:val="000000"/>
        </w:rPr>
      </w:pPr>
      <w:r>
        <w:br w:type="page"/>
      </w:r>
    </w:p>
    <w:p w:rsidR="00A703E6" w:rsidRDefault="001F14BC" w:rsidP="00CA06BD">
      <w:pPr>
        <w:pStyle w:val="Lgende"/>
        <w:spacing w:after="100"/>
      </w:pPr>
      <w:bookmarkStart w:id="34" w:name="_Toc479007715"/>
      <w:r>
        <w:lastRenderedPageBreak/>
        <w:t xml:space="preserve">Figure </w:t>
      </w:r>
      <w:r w:rsidR="001B585D">
        <w:fldChar w:fldCharType="begin"/>
      </w:r>
      <w:r>
        <w:instrText xml:space="preserve"> SEQ Figure \* ARABIC </w:instrText>
      </w:r>
      <w:r w:rsidR="001B585D">
        <w:fldChar w:fldCharType="separate"/>
      </w:r>
      <w:r w:rsidR="00CE2B53">
        <w:rPr>
          <w:noProof/>
        </w:rPr>
        <w:t>5</w:t>
      </w:r>
      <w:r w:rsidR="001B585D">
        <w:fldChar w:fldCharType="end"/>
      </w:r>
      <w:r>
        <w:t xml:space="preserve">: </w:t>
      </w:r>
      <w:r w:rsidRPr="00D204E4">
        <w:t>Produit Intérieur Brut en dollars US</w:t>
      </w:r>
      <w:r>
        <w:t xml:space="preserve"> au Cameroun</w:t>
      </w:r>
      <w:r w:rsidRPr="00D204E4">
        <w:t>.</w:t>
      </w:r>
      <w:bookmarkEnd w:id="34"/>
    </w:p>
    <w:p w:rsidR="00E642BA" w:rsidRDefault="00A703E6" w:rsidP="001C2538">
      <w:pPr>
        <w:spacing w:before="120" w:line="276" w:lineRule="auto"/>
        <w:jc w:val="both"/>
      </w:pPr>
      <w:r>
        <w:rPr>
          <w:noProof/>
        </w:rPr>
        <w:drawing>
          <wp:inline distT="0" distB="0" distL="0" distR="0">
            <wp:extent cx="5432181" cy="2743200"/>
            <wp:effectExtent l="19050" t="0" r="16119" b="0"/>
            <wp:docPr id="25"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50CA" w:rsidRPr="001650CA" w:rsidRDefault="00116899" w:rsidP="001C2538">
      <w:pPr>
        <w:spacing w:before="120" w:line="276" w:lineRule="auto"/>
        <w:jc w:val="both"/>
        <w:rPr>
          <w:sz w:val="20"/>
          <w:szCs w:val="20"/>
        </w:rPr>
      </w:pPr>
      <w:r w:rsidRPr="00116899">
        <w:rPr>
          <w:sz w:val="20"/>
          <w:szCs w:val="20"/>
          <w:u w:val="single"/>
        </w:rPr>
        <w:t>Source </w:t>
      </w:r>
      <w:r w:rsidRPr="00116899">
        <w:rPr>
          <w:sz w:val="20"/>
          <w:szCs w:val="20"/>
        </w:rPr>
        <w:t>: Banque mondiale, 2016.</w:t>
      </w:r>
    </w:p>
    <w:p w:rsidR="005A4D91" w:rsidRPr="00543B34" w:rsidRDefault="005A4D91" w:rsidP="00031E04">
      <w:pPr>
        <w:pStyle w:val="Paragraphedeliste"/>
        <w:numPr>
          <w:ilvl w:val="0"/>
          <w:numId w:val="89"/>
        </w:numPr>
        <w:spacing w:before="120"/>
        <w:rPr>
          <w:bCs/>
          <w:u w:val="single"/>
        </w:rPr>
      </w:pPr>
      <w:r w:rsidRPr="00543B34">
        <w:rPr>
          <w:bCs/>
          <w:u w:val="single"/>
        </w:rPr>
        <w:t xml:space="preserve">Produit intérieur brut par </w:t>
      </w:r>
      <w:r w:rsidR="00543B34">
        <w:rPr>
          <w:bCs/>
          <w:u w:val="single"/>
        </w:rPr>
        <w:t>habitant</w:t>
      </w:r>
    </w:p>
    <w:p w:rsidR="00D43463" w:rsidRDefault="005A4D91" w:rsidP="00FE4912">
      <w:pPr>
        <w:spacing w:before="120" w:line="276" w:lineRule="auto"/>
        <w:jc w:val="both"/>
      </w:pPr>
      <w:r w:rsidRPr="00EC2E68">
        <w:t>L’évolution du PIB par habitant ou par tête est un indicateur dépendant étroitement de celle du PIB et de celle de la population dans un pays. Ce qui voudrait dire que quand bien même un pays enregistrerait un taux de croissance du PIB élevé, reflétant ainsi une prospérité économique, son PIB par tête peut demeurer stable, voire chuter, si sa population s’accroît plus vite</w:t>
      </w:r>
      <w:r w:rsidR="00937003">
        <w:t xml:space="preserve"> (figure 6)</w:t>
      </w:r>
      <w:r w:rsidRPr="00EC2E68">
        <w:t xml:space="preserve">. La croissance économique spectaculaire que le Cameroun a enregistrée au cours de sa décennie de prospérité économique a entraîné quasiment un doublement de son PIB par tête entre 1973 et 1986. Il ressort de la recherche que pour bon nombre de pays d’Afrique subsaharienne ayant connu comme le Cameroun une période de prospérité économique, celle-ci s’est faite directement suivre d’une forte croissance démographique qui semble actuellement freiné le développement économique </w:t>
      </w:r>
      <w:r w:rsidR="001B585D" w:rsidRPr="00EC2E68">
        <w:fldChar w:fldCharType="begin"/>
      </w:r>
      <w:r w:rsidRPr="00EC2E68">
        <w:instrText xml:space="preserve"> ADDIN EN.CITE &lt;EndNote&gt;&lt;Cite&gt;&lt;Author&gt;Vimard&lt;/Author&gt;&lt;Year&gt;2008&lt;/Year&gt;&lt;RecNum&gt;1707&lt;/RecNum&gt;&lt;DisplayText&gt;(Vimard, 2008)&lt;/DisplayText&gt;&lt;record&gt;&lt;rec-number&gt;1707&lt;/rec-number&gt;&lt;foreign-keys&gt;&lt;key app="EN" db-id="rp90rxe0lfwt04ewwrups2vqpf2xffxfw022" timestamp="1479720375"&gt;1707&lt;/key&gt;&lt;/foreign-keys&gt;&lt;ref-type name="Journal Article"&gt;17&lt;/ref-type&gt;&lt;contributors&gt;&lt;authors&gt;&lt;author&gt;Vimard, P.&lt;/author&gt;&lt;/authors&gt;&lt;/contributors&gt;&lt;titles&gt;&lt;title&gt;Entre croissance démographique et regards socio-économiques : quelles politiques de développement pour l’Afrique subsaharienne&lt;/title&gt;&lt;secondary-title&gt;La lettre du LPED&lt;/secondary-title&gt;&lt;/titles&gt;&lt;periodical&gt;&lt;full-title&gt;La lettre du LPED&lt;/full-title&gt;&lt;/periodical&gt;&lt;pages&gt;1-3&lt;/pages&gt;&lt;volume&gt;1&lt;/volume&gt;&lt;number&gt;17&lt;/number&gt;&lt;dates&gt;&lt;year&gt;2008&lt;/year&gt;&lt;/dates&gt;&lt;urls&gt;&lt;/urls&gt;&lt;/record&gt;&lt;/Cite&gt;&lt;/EndNote&gt;</w:instrText>
      </w:r>
      <w:r w:rsidR="001B585D" w:rsidRPr="00EC2E68">
        <w:fldChar w:fldCharType="separate"/>
      </w:r>
      <w:r w:rsidRPr="00EC2E68">
        <w:rPr>
          <w:noProof/>
        </w:rPr>
        <w:t>(</w:t>
      </w:r>
      <w:hyperlink w:anchor="_ENREF_43" w:tooltip="Vimard, 2008 #1707" w:history="1">
        <w:r w:rsidRPr="00EC2E68">
          <w:rPr>
            <w:noProof/>
          </w:rPr>
          <w:t>Vimard, 2008</w:t>
        </w:r>
      </w:hyperlink>
      <w:r w:rsidRPr="00EC2E68">
        <w:rPr>
          <w:noProof/>
        </w:rPr>
        <w:t>)</w:t>
      </w:r>
      <w:r w:rsidR="001B585D" w:rsidRPr="00EC2E68">
        <w:fldChar w:fldCharType="end"/>
      </w:r>
      <w:r w:rsidRPr="00EC2E68">
        <w:t>.</w:t>
      </w:r>
    </w:p>
    <w:p w:rsidR="00E51B47" w:rsidRDefault="00E51B47" w:rsidP="00E51B47">
      <w:pPr>
        <w:spacing w:before="120" w:line="276" w:lineRule="auto"/>
        <w:jc w:val="both"/>
      </w:pPr>
      <w:r>
        <w:t>Comme le montre la figure 6, le PIB par habitant au Cameroun, en croissance continue depuis 2006 et dont l’estimation en 2010 était de 2400 dollars US (UN/INS/ICF international, 2010), devrait poursuivre sa croissance sur les 40 années de projections (au moins jusqu’en 2020, d’après les projections de la Banque mondiale).</w:t>
      </w:r>
    </w:p>
    <w:p w:rsidR="00FE4912" w:rsidRDefault="00FE4912" w:rsidP="00FE4912">
      <w:pPr>
        <w:spacing w:before="120" w:line="276" w:lineRule="auto"/>
        <w:jc w:val="both"/>
      </w:pPr>
    </w:p>
    <w:p w:rsidR="00FE4912" w:rsidRDefault="00FE4912" w:rsidP="00FE4912">
      <w:pPr>
        <w:spacing w:before="120" w:line="276" w:lineRule="auto"/>
        <w:jc w:val="both"/>
      </w:pPr>
    </w:p>
    <w:p w:rsidR="00FE4912" w:rsidRDefault="00FE4912" w:rsidP="00FE4912">
      <w:pPr>
        <w:spacing w:before="120" w:line="276" w:lineRule="auto"/>
        <w:jc w:val="both"/>
      </w:pPr>
    </w:p>
    <w:p w:rsidR="00FE4912" w:rsidRDefault="00FE4912">
      <w:r>
        <w:br w:type="page"/>
      </w:r>
    </w:p>
    <w:p w:rsidR="00A703E6" w:rsidRDefault="00937003" w:rsidP="00CD2D32">
      <w:pPr>
        <w:pStyle w:val="Lgende"/>
        <w:spacing w:after="100"/>
      </w:pPr>
      <w:bookmarkStart w:id="35" w:name="_Toc479007716"/>
      <w:r>
        <w:lastRenderedPageBreak/>
        <w:t xml:space="preserve">Figure </w:t>
      </w:r>
      <w:r w:rsidR="001B585D">
        <w:fldChar w:fldCharType="begin"/>
      </w:r>
      <w:r>
        <w:instrText xml:space="preserve"> SEQ Figure \* ARABIC </w:instrText>
      </w:r>
      <w:r w:rsidR="001B585D">
        <w:fldChar w:fldCharType="separate"/>
      </w:r>
      <w:r w:rsidR="00CE2B53">
        <w:rPr>
          <w:noProof/>
        </w:rPr>
        <w:t>6</w:t>
      </w:r>
      <w:r w:rsidR="001B585D">
        <w:fldChar w:fldCharType="end"/>
      </w:r>
      <w:r>
        <w:t xml:space="preserve">: </w:t>
      </w:r>
      <w:r w:rsidRPr="00BB6CF2">
        <w:t>Produit Intérieur Brut par habitant</w:t>
      </w:r>
      <w:r>
        <w:t xml:space="preserve"> au Cameroun</w:t>
      </w:r>
      <w:r w:rsidRPr="00BB6CF2">
        <w:t>.</w:t>
      </w:r>
      <w:bookmarkEnd w:id="35"/>
    </w:p>
    <w:p w:rsidR="00A703E6" w:rsidRDefault="00A703E6">
      <w:r>
        <w:rPr>
          <w:noProof/>
        </w:rPr>
        <w:drawing>
          <wp:inline distT="0" distB="0" distL="0" distR="0">
            <wp:extent cx="5399405" cy="2681084"/>
            <wp:effectExtent l="19050" t="0" r="10795" b="4966"/>
            <wp:docPr id="27"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D0363" w:rsidRPr="001650CA" w:rsidRDefault="009D0363" w:rsidP="009D0363">
      <w:pPr>
        <w:spacing w:before="120" w:line="276" w:lineRule="auto"/>
        <w:jc w:val="both"/>
        <w:rPr>
          <w:sz w:val="20"/>
          <w:szCs w:val="20"/>
        </w:rPr>
      </w:pPr>
      <w:r w:rsidRPr="00116899">
        <w:rPr>
          <w:sz w:val="20"/>
          <w:szCs w:val="20"/>
          <w:u w:val="single"/>
        </w:rPr>
        <w:t>Source </w:t>
      </w:r>
      <w:r w:rsidRPr="00116899">
        <w:rPr>
          <w:sz w:val="20"/>
          <w:szCs w:val="20"/>
        </w:rPr>
        <w:t>: Banque mondiale, 2016.</w:t>
      </w:r>
    </w:p>
    <w:p w:rsidR="005A4D91" w:rsidRPr="00543B34" w:rsidRDefault="005A4D91" w:rsidP="00031E04">
      <w:pPr>
        <w:pStyle w:val="Paragraphedeliste"/>
        <w:numPr>
          <w:ilvl w:val="2"/>
          <w:numId w:val="90"/>
        </w:numPr>
        <w:spacing w:before="120"/>
        <w:rPr>
          <w:bCs/>
          <w:u w:val="single"/>
        </w:rPr>
      </w:pPr>
      <w:r w:rsidRPr="00543B34">
        <w:rPr>
          <w:bCs/>
          <w:noProof/>
          <w:u w:val="single"/>
        </w:rPr>
        <w:drawing>
          <wp:anchor distT="0" distB="0" distL="114300" distR="114300" simplePos="0" relativeHeight="251688960" behindDoc="0" locked="0" layoutInCell="1" allowOverlap="1">
            <wp:simplePos x="0" y="0"/>
            <wp:positionH relativeFrom="column">
              <wp:posOffset>-12395200</wp:posOffset>
            </wp:positionH>
            <wp:positionV relativeFrom="paragraph">
              <wp:posOffset>-9968231</wp:posOffset>
            </wp:positionV>
            <wp:extent cx="57150" cy="45719"/>
            <wp:effectExtent l="19050" t="0" r="19050" b="0"/>
            <wp:wrapNone/>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543B34">
        <w:rPr>
          <w:bCs/>
          <w:u w:val="single"/>
        </w:rPr>
        <w:t>Emploi et population active</w:t>
      </w:r>
    </w:p>
    <w:p w:rsidR="005A4D91" w:rsidRPr="00EC2E68" w:rsidRDefault="005A4D91" w:rsidP="0038062C">
      <w:pPr>
        <w:spacing w:before="120" w:line="276" w:lineRule="auto"/>
        <w:jc w:val="both"/>
      </w:pPr>
      <w:r w:rsidRPr="00EC2E68">
        <w:t>D’une part, du fait de leur entrée tardive dans le processus de transition démographique, la majorité des pays d’Afrique subsaharienne sont confrontés à une croissance rapide de la population totale en général, et de celle de la population active en particulier. D’autre part, ces pays font face à un timide effet d’entraînement de la croissance sur l’emploi, causé entre autres par :</w:t>
      </w:r>
    </w:p>
    <w:p w:rsidR="005A4D91" w:rsidRPr="00EC2E68" w:rsidRDefault="005A4D91" w:rsidP="00B90AC8">
      <w:pPr>
        <w:numPr>
          <w:ilvl w:val="0"/>
          <w:numId w:val="135"/>
        </w:numPr>
        <w:spacing w:line="276" w:lineRule="auto"/>
        <w:jc w:val="both"/>
      </w:pPr>
      <w:r w:rsidRPr="00EC2E68">
        <w:t>le faible dynamisme des secteurs secondaire et tertiaire, traduisant alors un essor du secteur informel qui regroupe entre 70 et 90 % de l’emploi non agricole ;</w:t>
      </w:r>
    </w:p>
    <w:p w:rsidR="005A4D91" w:rsidRPr="00EC2E68" w:rsidRDefault="005A4D91" w:rsidP="00B90AC8">
      <w:pPr>
        <w:numPr>
          <w:ilvl w:val="0"/>
          <w:numId w:val="135"/>
        </w:numPr>
        <w:spacing w:line="276" w:lineRule="auto"/>
        <w:jc w:val="both"/>
      </w:pPr>
      <w:r w:rsidRPr="00EC2E68">
        <w:t>la prépondérance de l’agriculture de subsistance ;</w:t>
      </w:r>
    </w:p>
    <w:p w:rsidR="005A4D91" w:rsidRPr="00EC2E68" w:rsidRDefault="005A4D91" w:rsidP="00B90AC8">
      <w:pPr>
        <w:numPr>
          <w:ilvl w:val="0"/>
          <w:numId w:val="135"/>
        </w:numPr>
        <w:spacing w:line="276" w:lineRule="auto"/>
        <w:jc w:val="both"/>
      </w:pPr>
      <w:r w:rsidRPr="00EC2E68">
        <w:t>la difficulté des jeunes et des femmes à s’insérer sur le marché de l’emploi</w:t>
      </w:r>
      <w:r w:rsidR="00421E7B">
        <w:rPr>
          <w:rStyle w:val="Appelnotedebasdep"/>
        </w:rPr>
        <w:footnoteReference w:id="8"/>
      </w:r>
      <w:r w:rsidRPr="00EC2E68">
        <w:t> ;</w:t>
      </w:r>
    </w:p>
    <w:p w:rsidR="005A4D91" w:rsidRPr="00EC2E68" w:rsidRDefault="005A4D91" w:rsidP="00B90AC8">
      <w:pPr>
        <w:numPr>
          <w:ilvl w:val="0"/>
          <w:numId w:val="135"/>
        </w:numPr>
        <w:spacing w:line="276" w:lineRule="auto"/>
        <w:jc w:val="both"/>
      </w:pPr>
      <w:r w:rsidRPr="00EC2E68">
        <w:t>l’importance des migrations régionales.</w:t>
      </w:r>
    </w:p>
    <w:p w:rsidR="00EC136F" w:rsidRDefault="00EC136F" w:rsidP="0038062C">
      <w:pPr>
        <w:spacing w:before="120" w:line="276" w:lineRule="auto"/>
        <w:jc w:val="both"/>
      </w:pPr>
      <w:r w:rsidRPr="00EC136F">
        <w:t>Dans le cas du Cameroun,</w:t>
      </w:r>
      <w:r w:rsidR="002B6037">
        <w:t xml:space="preserve"> </w:t>
      </w:r>
      <w:r>
        <w:t>les o</w:t>
      </w:r>
      <w:r w:rsidRPr="00EC136F">
        <w:t>bjectifs du D</w:t>
      </w:r>
      <w:r>
        <w:t xml:space="preserve">ocument </w:t>
      </w:r>
      <w:r w:rsidRPr="00EC136F">
        <w:t>S</w:t>
      </w:r>
      <w:r>
        <w:t xml:space="preserve">tratégique pour la </w:t>
      </w:r>
      <w:r w:rsidRPr="00EC136F">
        <w:t>C</w:t>
      </w:r>
      <w:r>
        <w:t>roissance et l'</w:t>
      </w:r>
      <w:r w:rsidRPr="00EC136F">
        <w:t>E</w:t>
      </w:r>
      <w:r>
        <w:t xml:space="preserve">mploi (DSCE) prévoient, </w:t>
      </w:r>
      <w:r w:rsidRPr="00EC136F">
        <w:t>dans le domaine de l’emploi</w:t>
      </w:r>
      <w:r>
        <w:t>, qu'au cours de la période de la mise en œuvre de la S</w:t>
      </w:r>
      <w:r w:rsidR="008E5AAC">
        <w:t xml:space="preserve">tratégie pour la </w:t>
      </w:r>
      <w:r>
        <w:t>C</w:t>
      </w:r>
      <w:r w:rsidR="008E5AAC">
        <w:t>roissance et l'</w:t>
      </w:r>
      <w:r>
        <w:t>E</w:t>
      </w:r>
      <w:r w:rsidR="008E5AAC">
        <w:t>mploi (2010-2020)</w:t>
      </w:r>
      <w:r>
        <w:t>, il est anticipé que le profil de croissance du scénario de référence donne lieu à une création nette d'environ 495</w:t>
      </w:r>
      <w:r w:rsidR="004D6145">
        <w:t> </w:t>
      </w:r>
      <w:r>
        <w:t>000 emplois en moyenne annuelle (690</w:t>
      </w:r>
      <w:r w:rsidR="004D6145">
        <w:t> </w:t>
      </w:r>
      <w:r>
        <w:t>000 pour le scénario vision) contre 490</w:t>
      </w:r>
      <w:r w:rsidR="004D6145">
        <w:t> </w:t>
      </w:r>
      <w:r>
        <w:t xml:space="preserve">000 sur les dix dernières années. </w:t>
      </w:r>
      <w:r w:rsidR="008E5AAC">
        <w:t>Par secteur</w:t>
      </w:r>
      <w:r>
        <w:t>, les emplois vont davantage se développer dans le se</w:t>
      </w:r>
      <w:r w:rsidR="008E5AAC">
        <w:t>cteur tertiaire avec notamment d</w:t>
      </w:r>
      <w:r>
        <w:t>es investissements prévus dans les télécommu</w:t>
      </w:r>
      <w:r w:rsidR="008E5AAC">
        <w:t>nications et les transports et d</w:t>
      </w:r>
      <w:r>
        <w:t>es gains de croissance tirés des autres secteurs. Il générera environ 166</w:t>
      </w:r>
      <w:r w:rsidR="004D6145">
        <w:t> </w:t>
      </w:r>
      <w:r>
        <w:t>500 emplois l'an. Dans le secteur secondaire, il est attendu une création nette de près de 47</w:t>
      </w:r>
      <w:r w:rsidR="004D6145">
        <w:t> </w:t>
      </w:r>
      <w:r>
        <w:t xml:space="preserve">500 emplois par an en relation avec l'amélioration de la fourniture de l'énergie et l'expansion dans les </w:t>
      </w:r>
      <w:r w:rsidR="00A94B37">
        <w:t>bâtiments et les travaux publics (</w:t>
      </w:r>
      <w:r>
        <w:t>BTP</w:t>
      </w:r>
      <w:r w:rsidR="00A94B37">
        <w:t>)</w:t>
      </w:r>
      <w:r>
        <w:t xml:space="preserve">. Le </w:t>
      </w:r>
      <w:r>
        <w:lastRenderedPageBreak/>
        <w:t>secteur primaire continuera d'être le premier pourvoyeur d'emplois, avec à lui seul plus de la moitié des emplois créés par an, soit environ 281</w:t>
      </w:r>
      <w:r w:rsidR="004D6145">
        <w:t> </w:t>
      </w:r>
      <w:r>
        <w:t>000.</w:t>
      </w:r>
    </w:p>
    <w:p w:rsidR="00EC136F" w:rsidRDefault="00EC136F" w:rsidP="0038062C">
      <w:pPr>
        <w:spacing w:before="120" w:line="276" w:lineRule="auto"/>
        <w:jc w:val="both"/>
      </w:pPr>
      <w:r>
        <w:t>Une analyse en termes d'emplois formels ressort une création nette d'environ 90</w:t>
      </w:r>
      <w:r w:rsidR="004D6145">
        <w:t> </w:t>
      </w:r>
      <w:r>
        <w:t>000 emplois par an sur la période de la stratégie. Afin de permettre que ces créations d'emplois soient profitables à la main d'œuvre locale, la stratégie de l'emploi et de la formation professionnelle met l'accent sur la promotion des formations techniques notamment dans la pratiques des activités agro</w:t>
      </w:r>
      <w:r w:rsidR="00CD2D32">
        <w:t>-</w:t>
      </w:r>
      <w:r>
        <w:t>pastorales d'une part</w:t>
      </w:r>
      <w:r w:rsidR="00CD2D32">
        <w:t>,</w:t>
      </w:r>
      <w:r>
        <w:t xml:space="preserve"> et pour apporter une réponse aux attentes émanant de la mise en œuvre des grands projets d'autre part.</w:t>
      </w:r>
      <w:r w:rsidR="0038062C">
        <w:t xml:space="preserve"> Les analyses des résultats par la suite se fonderont sur ces objectifs du DSCE.</w:t>
      </w:r>
    </w:p>
    <w:p w:rsidR="005A4D91" w:rsidRPr="00943535" w:rsidRDefault="00943535" w:rsidP="00943535">
      <w:pPr>
        <w:spacing w:before="120"/>
        <w:ind w:left="708"/>
        <w:outlineLvl w:val="1"/>
        <w:rPr>
          <w:b/>
          <w:bCs/>
        </w:rPr>
      </w:pPr>
      <w:bookmarkStart w:id="36" w:name="_Toc479009920"/>
      <w:r w:rsidRPr="00943535">
        <w:rPr>
          <w:b/>
          <w:bCs/>
        </w:rPr>
        <w:t>4.</w:t>
      </w:r>
      <w:r w:rsidR="00376291">
        <w:rPr>
          <w:b/>
          <w:bCs/>
        </w:rPr>
        <w:t>2</w:t>
      </w:r>
      <w:r>
        <w:rPr>
          <w:b/>
          <w:bCs/>
        </w:rPr>
        <w:t xml:space="preserve">. </w:t>
      </w:r>
      <w:r w:rsidR="000E5A6E" w:rsidRPr="00943535">
        <w:rPr>
          <w:b/>
          <w:bCs/>
        </w:rPr>
        <w:t>Variables relatives à l'éducation</w:t>
      </w:r>
      <w:bookmarkEnd w:id="36"/>
    </w:p>
    <w:p w:rsidR="0095294F" w:rsidRDefault="000E5A6E" w:rsidP="003D3D2B">
      <w:pPr>
        <w:spacing w:before="120" w:line="276" w:lineRule="auto"/>
        <w:jc w:val="both"/>
      </w:pPr>
      <w:r>
        <w:t>L'éducation joue un</w:t>
      </w:r>
      <w:r w:rsidR="005A4D91" w:rsidRPr="00EC2E68">
        <w:t xml:space="preserve"> rôle crucial </w:t>
      </w:r>
      <w:r>
        <w:t>dans</w:t>
      </w:r>
      <w:r w:rsidR="005A4D91" w:rsidRPr="00EC2E68">
        <w:t xml:space="preserve"> la formation du capital humain pour un pays</w:t>
      </w:r>
      <w:r>
        <w:t>,</w:t>
      </w:r>
      <w:r w:rsidR="00CD2D32">
        <w:t xml:space="preserve"> et </w:t>
      </w:r>
      <w:r w:rsidR="005A4D91" w:rsidRPr="00EC2E68">
        <w:t xml:space="preserve">l’enseignement primaire en particulier </w:t>
      </w:r>
      <w:r>
        <w:t>en est l'un des piliers fondamentaux. Par ailleurs</w:t>
      </w:r>
      <w:r w:rsidR="00CD2D32">
        <w:t>,</w:t>
      </w:r>
      <w:r>
        <w:t xml:space="preserve"> l'éducation est une variable de contrôle du mariage et par la suite de la fécondité qui en découle. En retardant l'entrée en mariage des jeunes filles, l'éducation influe nécessairement sur leur fécondité et les phénomènes connexes que </w:t>
      </w:r>
      <w:r w:rsidR="0095294F">
        <w:t>sont la mortalité maternelle, les</w:t>
      </w:r>
      <w:r>
        <w:t xml:space="preserve"> mortalité</w:t>
      </w:r>
      <w:r w:rsidR="0095294F">
        <w:t>s infantile et</w:t>
      </w:r>
      <w:r>
        <w:t xml:space="preserve"> juvénile. </w:t>
      </w:r>
      <w:r w:rsidR="0095294F">
        <w:t xml:space="preserve">L'éducation comme l'un des déterminants permettant </w:t>
      </w:r>
      <w:r w:rsidR="005A4D91" w:rsidRPr="00EC2E68">
        <w:t xml:space="preserve">l’atteinte du dividende démographique semble faire </w:t>
      </w:r>
      <w:r w:rsidR="0095294F">
        <w:t xml:space="preserve">actuellement </w:t>
      </w:r>
      <w:r w:rsidR="005A4D91" w:rsidRPr="00EC2E68">
        <w:t>l’unanimité au sein de la communauté internationale. Lorsque le nombre de jeunes commence à diminuer, les dépenses pour les frais d</w:t>
      </w:r>
      <w:r w:rsidR="00CD2D32">
        <w:t>’éducation diminuent également.</w:t>
      </w:r>
    </w:p>
    <w:p w:rsidR="0095294F" w:rsidRDefault="005A4D91" w:rsidP="003D3D2B">
      <w:pPr>
        <w:spacing w:before="120" w:line="276" w:lineRule="auto"/>
        <w:jc w:val="both"/>
      </w:pPr>
      <w:r w:rsidRPr="00EC2E68">
        <w:t>L’Afrique subsaharienne est la région du monde enregistrant les plus faibles niveaux d’instruction, qui semblent se justifier par un coût élevé de l’éducation. S’agissant du Cameroun</w:t>
      </w:r>
      <w:r w:rsidR="0095294F">
        <w:t xml:space="preserve"> et d'après le DSCE</w:t>
      </w:r>
      <w:r w:rsidRPr="00EC2E68">
        <w:t xml:space="preserve">, </w:t>
      </w:r>
      <w:r w:rsidR="003D3D2B">
        <w:t>l</w:t>
      </w:r>
      <w:r w:rsidR="0095294F">
        <w:t>e taux net de fréq</w:t>
      </w:r>
      <w:r w:rsidR="00CD2D32">
        <w:t>uentation dans le primaire</w:t>
      </w:r>
      <w:r w:rsidR="0095294F">
        <w:t xml:space="preserve"> (6-11 ans) est resté quasiment stable entre 2001 et 2007, alors que le taux d'achèvement s'améliore relativement, passant de 59,1% à 71,5%. Sous le scénario référence, la part des dépenses publiques d'éducation passera de 15,9% entre 2009 à 17,4% en 2020. Sur cette base, le taux net de fréquentation dans le primaire convergera</w:t>
      </w:r>
      <w:r w:rsidR="00CD2D32">
        <w:t>it</w:t>
      </w:r>
      <w:r w:rsidR="0095294F">
        <w:t xml:space="preserve"> vers la cible de 100% à l'horizon de la stratégie après s'être établi à 88,6% en 2015. Dans le schéma de la vision, les progrès dans l'éducation ser</w:t>
      </w:r>
      <w:r w:rsidR="00CD2D32">
        <w:t>aien</w:t>
      </w:r>
      <w:r w:rsidR="0095294F">
        <w:t>t encore plus rapides. Le taux net de fréquentation dans le primaire s'établira</w:t>
      </w:r>
      <w:r w:rsidR="00CD2D32">
        <w:t>it</w:t>
      </w:r>
      <w:r w:rsidR="0095294F">
        <w:t xml:space="preserve"> à 90,3% en 2015 et atteindra</w:t>
      </w:r>
      <w:r w:rsidR="00CD2D32">
        <w:t>it</w:t>
      </w:r>
      <w:r w:rsidR="0095294F">
        <w:t xml:space="preserve"> la cible en 2018. Sous le scénario de référence, le taux net de fréquentation dans le primaire convergera</w:t>
      </w:r>
      <w:r w:rsidR="00CD2D32">
        <w:t>it</w:t>
      </w:r>
      <w:r w:rsidR="0095294F">
        <w:t xml:space="preserve"> vers la cible de 100% à l'horizon de la stratégie après s'être établi à 88,6% en 2015.</w:t>
      </w:r>
    </w:p>
    <w:p w:rsidR="005A4D91" w:rsidRPr="00376291" w:rsidRDefault="005A4D91" w:rsidP="00376291">
      <w:pPr>
        <w:pStyle w:val="Paragraphedeliste"/>
        <w:numPr>
          <w:ilvl w:val="1"/>
          <w:numId w:val="141"/>
        </w:numPr>
        <w:spacing w:before="120"/>
        <w:jc w:val="both"/>
        <w:outlineLvl w:val="1"/>
        <w:rPr>
          <w:b/>
          <w:bCs/>
        </w:rPr>
      </w:pPr>
      <w:bookmarkStart w:id="37" w:name="_Toc479009921"/>
      <w:r w:rsidRPr="00376291">
        <w:rPr>
          <w:b/>
          <w:bCs/>
        </w:rPr>
        <w:t>Variables relative</w:t>
      </w:r>
      <w:r w:rsidR="00AE6C6F" w:rsidRPr="00376291">
        <w:rPr>
          <w:b/>
          <w:bCs/>
        </w:rPr>
        <w:t>s à la santé</w:t>
      </w:r>
      <w:bookmarkEnd w:id="37"/>
    </w:p>
    <w:p w:rsidR="005A4D91" w:rsidRPr="005A4D91" w:rsidRDefault="00B90AC8" w:rsidP="006A6AE6">
      <w:pPr>
        <w:pStyle w:val="Paragraphedeliste"/>
        <w:spacing w:before="120" w:line="276" w:lineRule="auto"/>
        <w:ind w:left="0"/>
        <w:jc w:val="both"/>
        <w:rPr>
          <w:bCs/>
        </w:rPr>
      </w:pPr>
      <w:r>
        <w:rPr>
          <w:bCs/>
        </w:rPr>
        <w:t>Les</w:t>
      </w:r>
      <w:r w:rsidR="00B37967">
        <w:rPr>
          <w:bCs/>
        </w:rPr>
        <w:t xml:space="preserve"> variables </w:t>
      </w:r>
      <w:r w:rsidR="00CA1F90">
        <w:rPr>
          <w:bCs/>
        </w:rPr>
        <w:t>relatives à la santé sont :</w:t>
      </w:r>
      <w:r w:rsidR="00B37967">
        <w:rPr>
          <w:bCs/>
        </w:rPr>
        <w:t xml:space="preserve"> la mortalité des enfants de moins de cinq ans, la mortalité maternelle et la planification familiale.</w:t>
      </w:r>
    </w:p>
    <w:p w:rsidR="00AE6C6F" w:rsidRPr="00376291" w:rsidRDefault="006A6AE6" w:rsidP="00376291">
      <w:pPr>
        <w:pStyle w:val="Paragraphedeliste"/>
        <w:numPr>
          <w:ilvl w:val="2"/>
          <w:numId w:val="141"/>
        </w:numPr>
        <w:spacing w:before="120"/>
        <w:jc w:val="both"/>
        <w:rPr>
          <w:bCs/>
          <w:u w:val="single"/>
        </w:rPr>
      </w:pPr>
      <w:r w:rsidRPr="00376291">
        <w:rPr>
          <w:bCs/>
          <w:u w:val="single"/>
        </w:rPr>
        <w:t>Mortalité des enfants de moins de cinq ans (MM5)</w:t>
      </w:r>
    </w:p>
    <w:p w:rsidR="00AE6C6F" w:rsidRPr="00EC2E68" w:rsidRDefault="006A6AE6" w:rsidP="00755F08">
      <w:pPr>
        <w:spacing w:before="120" w:line="276" w:lineRule="auto"/>
        <w:jc w:val="both"/>
      </w:pPr>
      <w:r>
        <w:t xml:space="preserve">La mortalité des enfants de moins de cinq ans inclut la mortalité infantile (moins d'un an) et la mortalité juvénile (un à quatre ans révolus). </w:t>
      </w:r>
      <w:r w:rsidR="00AE6C6F" w:rsidRPr="00EC2E68">
        <w:t xml:space="preserve">Près </w:t>
      </w:r>
      <w:r w:rsidR="00AE6C6F" w:rsidRPr="00EC2E68">
        <w:rPr>
          <w:lang w:val="fr-CA"/>
        </w:rPr>
        <w:t xml:space="preserve">de cinq millions d’enfants de moins d’un an décèdent chaque année dans le monde </w:t>
      </w:r>
      <w:r w:rsidR="001B585D" w:rsidRPr="00EC2E68">
        <w:rPr>
          <w:lang w:val="fr-CA"/>
        </w:rPr>
        <w:fldChar w:fldCharType="begin"/>
      </w:r>
      <w:r w:rsidR="00AE6C6F" w:rsidRPr="00EC2E68">
        <w:rPr>
          <w:lang w:val="fr-CA"/>
        </w:rPr>
        <w:instrText xml:space="preserve"> ADDIN EN.CITE &lt;EndNote&gt;&lt;Cite&gt;&lt;Author&gt;UNICEF&lt;/Author&gt;&lt;Year&gt;2015&lt;/Year&gt;&lt;RecNum&gt;1694&lt;/RecNum&gt;&lt;DisplayText&gt;(UNICEF, 2015)&lt;/DisplayText&gt;&lt;record&gt;&lt;rec-number&gt;1694&lt;/rec-number&gt;&lt;foreign-keys&gt;&lt;key app="EN" db-id="rp90rxe0lfwt04ewwrups2vqpf2xffxfw022" timestamp="1479477048"&gt;1694&lt;/key&gt;&lt;/foreign-keys&gt;&lt;ref-type name="Report"&gt;27&lt;/ref-type&gt;&lt;contributors&gt;&lt;authors&gt;&lt;author&gt;UNICEF&lt;/author&gt;&lt;/authors&gt;&lt;/contributors&gt;&lt;titles&gt;&lt;title&gt;Levels and trends in child mortality&lt;/title&gt;&lt;/titles&gt;&lt;pages&gt;32&lt;/pages&gt;&lt;dates&gt;&lt;year&gt;2015&lt;/year&gt;&lt;/dates&gt;&lt;pub-location&gt;New York&lt;/pub-location&gt;&lt;publisher&gt;UNICEF&lt;/publisher&gt;&lt;urls&gt;&lt;/urls&gt;&lt;/record&gt;&lt;/Cite&gt;&lt;/EndNote&gt;</w:instrText>
      </w:r>
      <w:r w:rsidR="001B585D" w:rsidRPr="00EC2E68">
        <w:rPr>
          <w:lang w:val="fr-CA"/>
        </w:rPr>
        <w:fldChar w:fldCharType="separate"/>
      </w:r>
      <w:r w:rsidR="00AE6C6F" w:rsidRPr="00EC2E68">
        <w:rPr>
          <w:noProof/>
          <w:lang w:val="fr-CA"/>
        </w:rPr>
        <w:t>(</w:t>
      </w:r>
      <w:hyperlink w:anchor="_ENREF_41" w:tooltip="UNICEF, 2015 #1694" w:history="1">
        <w:r w:rsidR="00AE6C6F" w:rsidRPr="00EC2E68">
          <w:rPr>
            <w:noProof/>
            <w:lang w:val="fr-CA"/>
          </w:rPr>
          <w:t>UNICEF, 2015</w:t>
        </w:r>
      </w:hyperlink>
      <w:r w:rsidR="00AE6C6F" w:rsidRPr="00EC2E68">
        <w:rPr>
          <w:noProof/>
          <w:lang w:val="fr-CA"/>
        </w:rPr>
        <w:t>)</w:t>
      </w:r>
      <w:r w:rsidR="001B585D" w:rsidRPr="00EC2E68">
        <w:rPr>
          <w:lang w:val="fr-CA"/>
        </w:rPr>
        <w:fldChar w:fldCharType="end"/>
      </w:r>
      <w:r w:rsidR="00AE6C6F" w:rsidRPr="00EC2E68">
        <w:rPr>
          <w:lang w:val="fr-CA"/>
        </w:rPr>
        <w:t xml:space="preserve">. L’Afrique en concentre à elle seule plus de 45% des décès infantiles, alors qu’elle n’abrite que 15 % de la population mondiale </w:t>
      </w:r>
      <w:r w:rsidR="001B585D" w:rsidRPr="00EC2E68">
        <w:rPr>
          <w:lang w:val="fr-CA"/>
        </w:rPr>
        <w:fldChar w:fldCharType="begin"/>
      </w:r>
      <w:r w:rsidR="00AE6C6F" w:rsidRPr="00EC2E68">
        <w:rPr>
          <w:lang w:val="fr-CA"/>
        </w:rPr>
        <w:instrText xml:space="preserve"> ADDIN EN.CITE &lt;EndNote&gt;&lt;Cite&gt;&lt;Author&gt;WHO&lt;/Author&gt;&lt;Year&gt;2016&lt;/Year&gt;&lt;RecNum&gt;1696&lt;/RecNum&gt;&lt;DisplayText&gt;(WHO, 2016)&lt;/DisplayText&gt;&lt;record&gt;&lt;rec-number&gt;1696&lt;/rec-number&gt;&lt;foreign-keys&gt;&lt;key app="EN" db-id="rp90rxe0lfwt04ewwrups2vqpf2xffxfw022" timestamp="1479478972"&gt;1696&lt;/key&gt;&lt;/foreign-keys&gt;&lt;ref-type name="Report"&gt;27&lt;/ref-type&gt;&lt;contributors&gt;&lt;authors&gt;&lt;author&gt;WHO&lt;/author&gt;&lt;/authors&gt;&lt;/contributors&gt;&lt;titles&gt;&lt;title&gt;World Health Statistics 2016 for the monitoring health for the sustainable development goals&lt;/title&gt;&lt;/titles&gt;&lt;pages&gt;121&lt;/pages&gt;&lt;dates&gt;&lt;year&gt;2016&lt;/year&gt;&lt;/dates&gt;&lt;pub-location&gt;New York&lt;/pub-location&gt;&lt;publisher&gt;WHO&lt;/publisher&gt;&lt;urls&gt;&lt;/urls&gt;&lt;/record&gt;&lt;/Cite&gt;&lt;/EndNote&gt;</w:instrText>
      </w:r>
      <w:r w:rsidR="001B585D" w:rsidRPr="00EC2E68">
        <w:rPr>
          <w:lang w:val="fr-CA"/>
        </w:rPr>
        <w:fldChar w:fldCharType="separate"/>
      </w:r>
      <w:r w:rsidR="00AE6C6F" w:rsidRPr="00EC2E68">
        <w:rPr>
          <w:noProof/>
          <w:lang w:val="fr-CA"/>
        </w:rPr>
        <w:t>(</w:t>
      </w:r>
      <w:hyperlink w:anchor="_ENREF_45" w:tooltip="WHO, 2016 #1696" w:history="1">
        <w:r w:rsidR="00AE6C6F" w:rsidRPr="00EC2E68">
          <w:rPr>
            <w:noProof/>
            <w:lang w:val="fr-CA"/>
          </w:rPr>
          <w:t>WHO, 2016</w:t>
        </w:r>
      </w:hyperlink>
      <w:r w:rsidR="00AE6C6F" w:rsidRPr="00EC2E68">
        <w:rPr>
          <w:noProof/>
          <w:lang w:val="fr-CA"/>
        </w:rPr>
        <w:t>)</w:t>
      </w:r>
      <w:r w:rsidR="001B585D" w:rsidRPr="00EC2E68">
        <w:rPr>
          <w:lang w:val="fr-CA"/>
        </w:rPr>
        <w:fldChar w:fldCharType="end"/>
      </w:r>
      <w:r w:rsidR="00AE6C6F" w:rsidRPr="00EC2E68">
        <w:rPr>
          <w:lang w:val="fr-CA"/>
        </w:rPr>
        <w:t>. La mortalité infantile a toutefois beaucoup reculé</w:t>
      </w:r>
      <w:r w:rsidR="00CA1F90">
        <w:rPr>
          <w:lang w:val="fr-CA"/>
        </w:rPr>
        <w:t>.</w:t>
      </w:r>
      <w:r w:rsidR="002B6037">
        <w:rPr>
          <w:lang w:val="fr-CA"/>
        </w:rPr>
        <w:t xml:space="preserve"> </w:t>
      </w:r>
      <w:r w:rsidR="00CA1F90">
        <w:rPr>
          <w:lang w:val="fr-CA"/>
        </w:rPr>
        <w:t>En effet,</w:t>
      </w:r>
      <w:r w:rsidR="002B6037">
        <w:rPr>
          <w:lang w:val="fr-CA"/>
        </w:rPr>
        <w:t xml:space="preserve"> </w:t>
      </w:r>
      <w:r w:rsidR="00AE6C6F" w:rsidRPr="00EC2E68">
        <w:rPr>
          <w:lang w:val="fr-CA"/>
        </w:rPr>
        <w:t>l</w:t>
      </w:r>
      <w:r w:rsidR="00AE6C6F" w:rsidRPr="00EC2E68">
        <w:t xml:space="preserve">es études récentes montrent des niveaux de mortalité </w:t>
      </w:r>
      <w:r w:rsidR="002B6037">
        <w:t>infantile</w:t>
      </w:r>
      <w:r w:rsidR="002B6037" w:rsidRPr="00EC2E68">
        <w:t xml:space="preserve"> </w:t>
      </w:r>
      <w:r w:rsidR="002B6037" w:rsidRPr="00EC2E68">
        <w:lastRenderedPageBreak/>
        <w:t>largement</w:t>
      </w:r>
      <w:r w:rsidR="00AE6C6F" w:rsidRPr="00EC2E68">
        <w:t xml:space="preserve"> inférieurs à ceux qui prévalaient dans les années 1950-1970</w:t>
      </w:r>
      <w:r w:rsidR="00CA1F90">
        <w:t>. La mortalité infantile</w:t>
      </w:r>
      <w:r w:rsidR="00AE6C6F" w:rsidRPr="00EC2E68">
        <w:rPr>
          <w:lang w:val="fr-CA"/>
        </w:rPr>
        <w:t xml:space="preserve">reste </w:t>
      </w:r>
      <w:r>
        <w:rPr>
          <w:lang w:val="fr-CA"/>
        </w:rPr>
        <w:t xml:space="preserve">néanmoins </w:t>
      </w:r>
      <w:r w:rsidR="00AE6C6F" w:rsidRPr="00EC2E68">
        <w:rPr>
          <w:lang w:val="fr-CA"/>
        </w:rPr>
        <w:t xml:space="preserve">élevée en Afrique subsaharienne où naissent beaucoup d’enfants. Le taux de mortalité infantile y est estimé à 59‰ en 2015, et celui de la mortalité </w:t>
      </w:r>
      <w:r w:rsidR="00604CB5">
        <w:rPr>
          <w:lang w:val="fr-CA"/>
        </w:rPr>
        <w:t xml:space="preserve">des enfants de moins de cinq ans (mortalité </w:t>
      </w:r>
      <w:r w:rsidR="00AE6C6F" w:rsidRPr="00EC2E68">
        <w:rPr>
          <w:lang w:val="fr-CA"/>
        </w:rPr>
        <w:t>infanto-juvénile</w:t>
      </w:r>
      <w:r w:rsidR="00604CB5">
        <w:rPr>
          <w:lang w:val="fr-CA"/>
        </w:rPr>
        <w:t>)</w:t>
      </w:r>
      <w:r w:rsidR="00AE6C6F" w:rsidRPr="00EC2E68">
        <w:rPr>
          <w:lang w:val="fr-CA"/>
        </w:rPr>
        <w:t xml:space="preserve"> à 43‰ </w:t>
      </w:r>
      <w:r w:rsidR="001B585D" w:rsidRPr="00EC2E68">
        <w:rPr>
          <w:lang w:val="fr-CA"/>
        </w:rPr>
        <w:fldChar w:fldCharType="begin"/>
      </w:r>
      <w:r w:rsidR="00AE6C6F" w:rsidRPr="00EC2E68">
        <w:rPr>
          <w:lang w:val="fr-CA"/>
        </w:rPr>
        <w:instrText xml:space="preserve"> ADDIN EN.CITE &lt;EndNote&gt;&lt;Cite&gt;&lt;Author&gt;UNICEF&lt;/Author&gt;&lt;Year&gt;2015&lt;/Year&gt;&lt;RecNum&gt;1694&lt;/RecNum&gt;&lt;DisplayText&gt;(UNICEF, 2015)&lt;/DisplayText&gt;&lt;record&gt;&lt;rec-number&gt;1694&lt;/rec-number&gt;&lt;foreign-keys&gt;&lt;key app="EN" db-id="rp90rxe0lfwt04ewwrups2vqpf2xffxfw022" timestamp="1479477048"&gt;1694&lt;/key&gt;&lt;/foreign-keys&gt;&lt;ref-type name="Report"&gt;27&lt;/ref-type&gt;&lt;contributors&gt;&lt;authors&gt;&lt;author&gt;UNICEF&lt;/author&gt;&lt;/authors&gt;&lt;/contributors&gt;&lt;titles&gt;&lt;title&gt;Levels and trends in child mortality&lt;/title&gt;&lt;/titles&gt;&lt;pages&gt;32&lt;/pages&gt;&lt;dates&gt;&lt;year&gt;2015&lt;/year&gt;&lt;/dates&gt;&lt;pub-location&gt;New York&lt;/pub-location&gt;&lt;publisher&gt;UNICEF&lt;/publisher&gt;&lt;urls&gt;&lt;/urls&gt;&lt;/record&gt;&lt;/Cite&gt;&lt;/EndNote&gt;</w:instrText>
      </w:r>
      <w:r w:rsidR="001B585D" w:rsidRPr="00EC2E68">
        <w:rPr>
          <w:lang w:val="fr-CA"/>
        </w:rPr>
        <w:fldChar w:fldCharType="separate"/>
      </w:r>
      <w:r w:rsidR="00AE6C6F" w:rsidRPr="00EC2E68">
        <w:rPr>
          <w:noProof/>
          <w:lang w:val="fr-CA"/>
        </w:rPr>
        <w:t>(</w:t>
      </w:r>
      <w:hyperlink w:anchor="_ENREF_41" w:tooltip="UNICEF, 2015 #1694" w:history="1">
        <w:r w:rsidR="00AE6C6F" w:rsidRPr="00EC2E68">
          <w:rPr>
            <w:noProof/>
            <w:lang w:val="fr-CA"/>
          </w:rPr>
          <w:t>UNICEF, 2015</w:t>
        </w:r>
      </w:hyperlink>
      <w:r w:rsidR="00AE6C6F" w:rsidRPr="00EC2E68">
        <w:rPr>
          <w:noProof/>
          <w:lang w:val="fr-CA"/>
        </w:rPr>
        <w:t>)</w:t>
      </w:r>
      <w:r w:rsidR="001B585D" w:rsidRPr="00EC2E68">
        <w:rPr>
          <w:lang w:val="fr-CA"/>
        </w:rPr>
        <w:fldChar w:fldCharType="end"/>
      </w:r>
      <w:r w:rsidR="00AE6C6F" w:rsidRPr="00EC2E68">
        <w:rPr>
          <w:lang w:val="fr-CA"/>
        </w:rPr>
        <w:t xml:space="preserve">. </w:t>
      </w:r>
      <w:r w:rsidR="00AE6C6F" w:rsidRPr="00EC2E68">
        <w:t xml:space="preserve">Les disparités en matière de mortalité </w:t>
      </w:r>
      <w:r w:rsidR="00604CB5">
        <w:t xml:space="preserve">infantile </w:t>
      </w:r>
      <w:r w:rsidR="00AE6C6F" w:rsidRPr="00EC2E68">
        <w:t xml:space="preserve">à l’intérieur des pays et entre pays persistent, et se sont fortement accrues durant la dernière décennie </w:t>
      </w:r>
      <w:r w:rsidR="001B585D" w:rsidRPr="00EC2E68">
        <w:fldChar w:fldCharType="begin"/>
      </w:r>
      <w:r w:rsidR="00AE6C6F" w:rsidRPr="00EC2E68">
        <w:instrText xml:space="preserve"> ADDIN EN.CITE &lt;EndNote&gt;&lt;Cite&gt;&lt;Author&gt;Soura&lt;/Author&gt;&lt;Year&gt;2009&lt;/Year&gt;&lt;RecNum&gt;474&lt;/RecNum&gt;&lt;DisplayText&gt;(Soura, 2009, Tabutin and Schoumaker, 2004)&lt;/DisplayText&gt;&lt;record&gt;&lt;rec-number&gt;474&lt;/rec-number&gt;&lt;foreign-keys&gt;&lt;key app="EN" db-id="rp90rxe0lfwt04ewwrups2vqpf2xffxfw022" timestamp="0"&gt;474&lt;/key&gt;&lt;/foreign-keys&gt;&lt;ref-type name="Electronic Book"&gt;44&lt;/ref-type&gt;&lt;contributors&gt;&lt;authors&gt;&lt;author&gt;Soura, A. B.&lt;/author&gt;&lt;/authors&gt;&lt;/contributors&gt;&lt;titles&gt;&lt;title&gt;Analyse de la mortalité et de la santé des enfants à Ouagadougou&lt;/title&gt;&lt;/titles&gt;&lt;pages&gt;340&lt;/pages&gt;&lt;section&gt;340&lt;/section&gt;&lt;dates&gt;&lt;year&gt;2009&lt;/year&gt;&lt;/dates&gt;&lt;pub-location&gt;Louvain&lt;/pub-location&gt;&lt;publisher&gt;Presses universitaires de Louvain&lt;/publisher&gt;&lt;isbn&gt;287463168X&lt;/isbn&gt;&lt;urls&gt;&lt;/urls&gt;&lt;/record&gt;&lt;/Cite&gt;&lt;Cite&gt;&lt;Author&gt;Tabutin&lt;/Author&gt;&lt;Year&gt;2004&lt;/Year&gt;&lt;RecNum&gt;971&lt;/RecNum&gt;&lt;record&gt;&lt;rec-number&gt;971&lt;/rec-number&gt;&lt;foreign-keys&gt;&lt;key app="EN" db-id="rp90rxe0lfwt04ewwrups2vqpf2xffxfw022" timestamp="1363807341"&gt;971&lt;/key&gt;&lt;/foreign-keys&gt;&lt;ref-type name="Journal Article"&gt;17&lt;/ref-type&gt;&lt;contributors&gt;&lt;authors&gt;&lt;author&gt;Tabutin, D.&lt;/author&gt;&lt;author&gt;Schoumaker, B.&lt;/author&gt;&lt;/authors&gt;&lt;/contributors&gt;&lt;titles&gt;&lt;title&gt;La démographie de l&amp;apos;Afrique au sud du Sahara des années 1950 aux annéees 2000&lt;/title&gt;&lt;secondary-title&gt;Population&lt;/secondary-title&gt;&lt;/titles&gt;&lt;periodical&gt;&lt;full-title&gt;Population&lt;/full-title&gt;&lt;/periodical&gt;&lt;pages&gt;521-622&lt;/pages&gt;&lt;volume&gt;59&lt;/volume&gt;&lt;number&gt;3&lt;/number&gt;&lt;dates&gt;&lt;year&gt;2004&lt;/year&gt;&lt;/dates&gt;&lt;isbn&gt;0032-4663&lt;/isbn&gt;&lt;urls&gt;&lt;/urls&gt;&lt;/record&gt;&lt;/Cite&gt;&lt;/EndNote&gt;</w:instrText>
      </w:r>
      <w:r w:rsidR="001B585D" w:rsidRPr="00EC2E68">
        <w:fldChar w:fldCharType="separate"/>
      </w:r>
      <w:r w:rsidR="00AE6C6F" w:rsidRPr="00EC2E68">
        <w:rPr>
          <w:noProof/>
        </w:rPr>
        <w:t>(</w:t>
      </w:r>
      <w:hyperlink w:anchor="_ENREF_39" w:tooltip="Soura, 2009 #474" w:history="1">
        <w:r w:rsidR="00AE6C6F" w:rsidRPr="00EC2E68">
          <w:rPr>
            <w:noProof/>
          </w:rPr>
          <w:t>Soura, 2009</w:t>
        </w:r>
      </w:hyperlink>
      <w:r w:rsidR="00AE6C6F" w:rsidRPr="00EC2E68">
        <w:rPr>
          <w:noProof/>
        </w:rPr>
        <w:t xml:space="preserve">, </w:t>
      </w:r>
      <w:hyperlink w:anchor="_ENREF_40" w:tooltip="Tabutin, 2004 #971" w:history="1">
        <w:r w:rsidR="00AE6C6F" w:rsidRPr="00EC2E68">
          <w:rPr>
            <w:noProof/>
          </w:rPr>
          <w:t xml:space="preserve">Tabutin </w:t>
        </w:r>
        <w:r w:rsidR="00CA1F90">
          <w:rPr>
            <w:noProof/>
          </w:rPr>
          <w:t>et</w:t>
        </w:r>
        <w:r w:rsidR="00AE6C6F" w:rsidRPr="00EC2E68">
          <w:rPr>
            <w:noProof/>
          </w:rPr>
          <w:t>Schoumaker, 2004</w:t>
        </w:r>
      </w:hyperlink>
      <w:r w:rsidR="00AE6C6F" w:rsidRPr="00EC2E68">
        <w:rPr>
          <w:noProof/>
        </w:rPr>
        <w:t>)</w:t>
      </w:r>
      <w:r w:rsidR="001B585D" w:rsidRPr="00EC2E68">
        <w:fldChar w:fldCharType="end"/>
      </w:r>
      <w:r w:rsidR="00AE6C6F" w:rsidRPr="00EC2E68">
        <w:t xml:space="preserve">. </w:t>
      </w:r>
      <w:r w:rsidR="00604CB5">
        <w:t>Une</w:t>
      </w:r>
      <w:r w:rsidR="00AE6C6F" w:rsidRPr="00EC2E68">
        <w:t xml:space="preserve"> mortalité </w:t>
      </w:r>
      <w:r w:rsidR="00604CB5">
        <w:t xml:space="preserve">infanto-juvénile </w:t>
      </w:r>
      <w:r w:rsidR="00AE6C6F" w:rsidRPr="00EC2E68">
        <w:t xml:space="preserve">élevée est toujours considérée comme un obstacle important aux changements de comportements reproductifs et au recul de la fécondité </w:t>
      </w:r>
      <w:r w:rsidR="001B585D" w:rsidRPr="00EC2E68">
        <w:fldChar w:fldCharType="begin"/>
      </w:r>
      <w:r w:rsidR="00AE6C6F" w:rsidRPr="00EC2E68">
        <w:instrText xml:space="preserve"> ADDIN EN.CITE &lt;EndNote&gt;&lt;Cite&gt;&lt;Author&gt;LeGrand&lt;/Author&gt;&lt;Year&gt;2003&lt;/Year&gt;&lt;RecNum&gt;1173&lt;/RecNum&gt;&lt;DisplayText&gt;(LeGrand, 2003, Montgomery, 2003)&lt;/DisplayText&gt;&lt;record&gt;&lt;rec-number&gt;1173&lt;/rec-number&gt;&lt;foreign-keys&gt;&lt;key app="EN" db-id="rp90rxe0lfwt04ewwrups2vqpf2xffxfw022" timestamp="1393887735"&gt;1173&lt;/key&gt;&lt;/foreign-keys&gt;&lt;ref-type name="Book Section"&gt;5&lt;/ref-type&gt;&lt;contributors&gt;&lt;authors&gt;&lt;author&gt;LeGrand, L.&lt;/author&gt;&lt;/authors&gt;&lt;secondary-authors&gt;&lt;author&gt;Marquardt, M. J.&lt;/author&gt;&lt;/secondary-authors&gt;&lt;/contributors&gt;&lt;titles&gt;&lt;title&gt;World Population Growth and the Environment&lt;/title&gt;&lt;secondary-title&gt;Humain Ressources and their Development&lt;/secondary-title&gt;&lt;/titles&gt;&lt;pages&gt;114-133&lt;/pages&gt;&lt;volume&gt;2&lt;/volume&gt;&lt;dates&gt;&lt;year&gt;2003&lt;/year&gt;&lt;/dates&gt;&lt;publisher&gt;Encyclopedia of Life Support Systems (EOLSS)&lt;/publisher&gt;&lt;urls&gt;&lt;/urls&gt;&lt;/record&gt;&lt;/Cite&gt;&lt;Cite&gt;&lt;Author&gt;Montgomery&lt;/Author&gt;&lt;Year&gt;2003&lt;/Year&gt;&lt;RecNum&gt;827&lt;/RecNum&gt;&lt;record&gt;&lt;rec-number&gt;827&lt;/rec-number&gt;&lt;foreign-keys&gt;&lt;key app="EN" db-id="rp90rxe0lfwt04ewwrups2vqpf2xffxfw022" timestamp="1345124378"&gt;827&lt;/key&gt;&lt;/foreign-keys&gt;&lt;ref-type name="Book"&gt;6&lt;/ref-type&gt;&lt;contributors&gt;&lt;authors&gt;&lt;author&gt;Montgomery, M.&lt;/author&gt;&lt;/authors&gt;&lt;/contributors&gt;&lt;titles&gt;&lt;title&gt;Cities transformed: demographic change and its implications in the developing world&lt;/title&gt;&lt;/titles&gt;&lt;pages&gt;529&lt;/pages&gt;&lt;dates&gt;&lt;year&gt;2003&lt;/year&gt;&lt;/dates&gt;&lt;pub-location&gt;Washington DC&lt;/pub-location&gt;&lt;publisher&gt;National Academy Press&lt;/publisher&gt;&lt;isbn&gt;0309088623&lt;/isbn&gt;&lt;urls&gt;&lt;/urls&gt;&lt;/record&gt;&lt;/Cite&gt;&lt;/EndNote&gt;</w:instrText>
      </w:r>
      <w:r w:rsidR="001B585D" w:rsidRPr="00EC2E68">
        <w:fldChar w:fldCharType="separate"/>
      </w:r>
      <w:r w:rsidR="00AE6C6F" w:rsidRPr="00EC2E68">
        <w:rPr>
          <w:noProof/>
        </w:rPr>
        <w:t>(</w:t>
      </w:r>
      <w:hyperlink w:anchor="_ENREF_24" w:tooltip="LeGrand, 2003 #1173" w:history="1">
        <w:r w:rsidR="00AE6C6F" w:rsidRPr="00EC2E68">
          <w:rPr>
            <w:noProof/>
          </w:rPr>
          <w:t>LeGrand, 2003</w:t>
        </w:r>
      </w:hyperlink>
      <w:r w:rsidR="00AE6C6F" w:rsidRPr="00EC2E68">
        <w:rPr>
          <w:noProof/>
        </w:rPr>
        <w:t xml:space="preserve">, </w:t>
      </w:r>
      <w:hyperlink w:anchor="_ENREF_28" w:tooltip="Montgomery, 2003 #827" w:history="1">
        <w:r w:rsidR="00AE6C6F" w:rsidRPr="00EC2E68">
          <w:rPr>
            <w:noProof/>
          </w:rPr>
          <w:t>Montgomery, 2003</w:t>
        </w:r>
      </w:hyperlink>
      <w:r w:rsidR="00AE6C6F" w:rsidRPr="00EC2E68">
        <w:rPr>
          <w:noProof/>
        </w:rPr>
        <w:t>)</w:t>
      </w:r>
      <w:r w:rsidR="001B585D" w:rsidRPr="00EC2E68">
        <w:fldChar w:fldCharType="end"/>
      </w:r>
      <w:r w:rsidR="00AE6C6F" w:rsidRPr="00EC2E68">
        <w:t>.</w:t>
      </w:r>
    </w:p>
    <w:p w:rsidR="00604CB5" w:rsidRDefault="00604CB5" w:rsidP="00755F08">
      <w:pPr>
        <w:spacing w:before="120" w:line="276" w:lineRule="auto"/>
        <w:jc w:val="both"/>
      </w:pPr>
      <w:r>
        <w:t>Au Cameroun, environ 6</w:t>
      </w:r>
      <w:r w:rsidR="00F95D17">
        <w:t>2</w:t>
      </w:r>
      <w:r w:rsidRPr="00EC2E68">
        <w:t xml:space="preserve"> enfants nés vivants sur 1000 décèdent avant leur premier anniversaire, et </w:t>
      </w:r>
      <w:r w:rsidR="00755F08">
        <w:t>environ 1 enfant né vivant sur 10</w:t>
      </w:r>
      <w:r w:rsidRPr="00EC2E68">
        <w:t xml:space="preserve"> n’atteint </w:t>
      </w:r>
      <w:r w:rsidR="00CA1F90">
        <w:t xml:space="preserve">pas </w:t>
      </w:r>
      <w:r w:rsidR="00755F08">
        <w:t>son</w:t>
      </w:r>
      <w:r w:rsidRPr="00EC2E68">
        <w:t xml:space="preserve"> 5</w:t>
      </w:r>
      <w:r w:rsidR="00CF613D">
        <w:rPr>
          <w:vertAlign w:val="superscript"/>
        </w:rPr>
        <w:t>ème</w:t>
      </w:r>
      <w:r w:rsidRPr="00EC2E68">
        <w:t xml:space="preserve"> anniversaire. Le niveau de mortalité des enfants de moins de 5 ans reste encore élevé, même s’il a baissé de manière significative depuis 2004 de 144‰ à </w:t>
      </w:r>
      <w:r w:rsidR="00F95D17">
        <w:t>122</w:t>
      </w:r>
      <w:r w:rsidR="00755F08">
        <w:t>‰ en 2014</w:t>
      </w:r>
      <w:r w:rsidR="001B585D" w:rsidRPr="00EC2E68">
        <w:fldChar w:fldCharType="begin"/>
      </w:r>
      <w:r w:rsidRPr="00EC2E68">
        <w:instrText xml:space="preserve"> ADDIN EN.CITE &lt;EndNote&gt;&lt;Cite&gt;&lt;Author&gt;INS et ICF International&lt;/Author&gt;&lt;Year&gt;2012&lt;/Year&gt;&lt;RecNum&gt;1669&lt;/RecNum&gt;&lt;DisplayText&gt;(INS et ICF International, 2012)&lt;/DisplayText&gt;&lt;record&gt;&lt;rec-number&gt;1669&lt;/rec-number&gt;&lt;foreign-keys&gt;&lt;key app="EN" db-id="rp90rxe0lfwt04ewwrups2vqpf2xffxfw022" timestamp="1479377594"&gt;1669&lt;/key&gt;&lt;/foreign-keys&gt;&lt;ref-type name="Report"&gt;27&lt;/ref-type&gt;&lt;contributors&gt;&lt;authors&gt;&lt;author&gt;INS et ICF International,&lt;/author&gt;&lt;/authors&gt;&lt;/contributors&gt;&lt;titles&gt;&lt;title&gt;Enquête démographique et de santé et à indicateurs multiples au Cameroun 2011&lt;/title&gt;&lt;/titles&gt;&lt;pages&gt;546&lt;/pages&gt;&lt;dates&gt;&lt;year&gt;2012&lt;/year&gt;&lt;/dates&gt;&lt;pub-location&gt;Calverton, Maryland, USA&lt;/pub-location&gt;&lt;publisher&gt;INS et ICF International&lt;/publisher&gt;&lt;urls&gt;&lt;/urls&gt;&lt;/record&gt;&lt;/Cite&gt;&lt;/EndNote&gt;</w:instrText>
      </w:r>
      <w:r w:rsidR="001B585D" w:rsidRPr="00EC2E68">
        <w:fldChar w:fldCharType="separate"/>
      </w:r>
      <w:r w:rsidRPr="00EC2E68">
        <w:rPr>
          <w:noProof/>
        </w:rPr>
        <w:t>(</w:t>
      </w:r>
      <w:hyperlink w:anchor="_ENREF_20" w:tooltip="INS et ICF International, 2012 #1669" w:history="1">
        <w:r w:rsidRPr="00EC2E68">
          <w:rPr>
            <w:noProof/>
          </w:rPr>
          <w:t>INS et ICF International,201</w:t>
        </w:r>
      </w:hyperlink>
      <w:r w:rsidR="00F95D17">
        <w:t>2</w:t>
      </w:r>
      <w:r w:rsidRPr="00EC2E68">
        <w:rPr>
          <w:noProof/>
        </w:rPr>
        <w:t>)</w:t>
      </w:r>
      <w:r w:rsidR="001B585D" w:rsidRPr="00EC2E68">
        <w:fldChar w:fldCharType="end"/>
      </w:r>
      <w:r w:rsidRPr="00EC2E68">
        <w:t>.</w:t>
      </w:r>
      <w:r w:rsidR="00F95D17">
        <w:t>Pour la modélisation</w:t>
      </w:r>
      <w:r w:rsidR="00CF613D">
        <w:t>,</w:t>
      </w:r>
      <w:r w:rsidR="00F95D17">
        <w:t xml:space="preserve"> on retiendra les valeurs les plus récentes, 69</w:t>
      </w:r>
      <w:r w:rsidR="00F95D17" w:rsidRPr="00EC2E68">
        <w:t>‰</w:t>
      </w:r>
      <w:r w:rsidR="00CA1F90">
        <w:t xml:space="preserve">pour le </w:t>
      </w:r>
      <w:r w:rsidR="00F95D17">
        <w:t>taux de mortalité infantile et 95</w:t>
      </w:r>
      <w:r w:rsidR="00F95D17" w:rsidRPr="00EC2E68">
        <w:t>‰</w:t>
      </w:r>
      <w:r w:rsidR="00F95D17">
        <w:t xml:space="preserve"> pour la mortalité </w:t>
      </w:r>
      <w:r w:rsidR="00CA1F90">
        <w:t xml:space="preserve">infanto-juvénile </w:t>
      </w:r>
      <w:r w:rsidR="00F95D17">
        <w:t>comme</w:t>
      </w:r>
      <w:r w:rsidR="00755F08">
        <w:t xml:space="preserve"> valeurs de base</w:t>
      </w:r>
      <w:r w:rsidR="001B585D" w:rsidRPr="00EC2E68">
        <w:fldChar w:fldCharType="begin"/>
      </w:r>
      <w:r w:rsidR="00CA1F90" w:rsidRPr="00EC2E68">
        <w:instrText xml:space="preserve"> ADDIN EN.CITE &lt;EndNote&gt;&lt;Cite&gt;&lt;Author&gt;INS et ICF International&lt;/Author&gt;&lt;Year&gt;2012&lt;/Year&gt;&lt;RecNum&gt;1669&lt;/RecNum&gt;&lt;DisplayText&gt;(INS et ICF International, 2012)&lt;/DisplayText&gt;&lt;record&gt;&lt;rec-number&gt;1669&lt;/rec-number&gt;&lt;foreign-keys&gt;&lt;key app="EN" db-id="rp90rxe0lfwt04ewwrups2vqpf2xffxfw022" timestamp="1479377594"&gt;1669&lt;/key&gt;&lt;/foreign-keys&gt;&lt;ref-type name="Report"&gt;27&lt;/ref-type&gt;&lt;contributors&gt;&lt;authors&gt;&lt;author&gt;INS et ICF International,&lt;/author&gt;&lt;/authors&gt;&lt;/contributors&gt;&lt;titles&gt;&lt;title&gt;Enquête démographique et de santé et à indicateurs multiples au Cameroun 2011&lt;/title&gt;&lt;/titles&gt;&lt;pages&gt;546&lt;/pages&gt;&lt;dates&gt;&lt;year&gt;2012&lt;/year&gt;&lt;/dates&gt;&lt;pub-location&gt;Calverton, Maryland, USA&lt;/pub-location&gt;&lt;publisher&gt;INS et ICF International&lt;/publisher&gt;&lt;urls&gt;&lt;/urls&gt;&lt;/record&gt;&lt;/Cite&gt;&lt;/EndNote&gt;</w:instrText>
      </w:r>
      <w:r w:rsidR="001B585D" w:rsidRPr="00EC2E68">
        <w:fldChar w:fldCharType="separate"/>
      </w:r>
      <w:r w:rsidR="00CA1F90" w:rsidRPr="00EC2E68">
        <w:rPr>
          <w:noProof/>
        </w:rPr>
        <w:t>(</w:t>
      </w:r>
      <w:hyperlink w:anchor="_ENREF_20" w:tooltip="INS et ICF International, 2012 #1669" w:history="1">
        <w:r w:rsidR="00CA1F90" w:rsidRPr="00EC2E68">
          <w:rPr>
            <w:noProof/>
          </w:rPr>
          <w:t>INS et ICF International,201</w:t>
        </w:r>
      </w:hyperlink>
      <w:r w:rsidR="00CA1F90">
        <w:t>2</w:t>
      </w:r>
      <w:r w:rsidR="00CA1F90" w:rsidRPr="00EC2E68">
        <w:rPr>
          <w:noProof/>
        </w:rPr>
        <w:t>)</w:t>
      </w:r>
      <w:r w:rsidR="001B585D" w:rsidRPr="00EC2E68">
        <w:fldChar w:fldCharType="end"/>
      </w:r>
      <w:r w:rsidR="00755F08">
        <w:t>.</w:t>
      </w:r>
    </w:p>
    <w:p w:rsidR="00755F08" w:rsidRPr="00943535" w:rsidRDefault="00755F08" w:rsidP="00376291">
      <w:pPr>
        <w:pStyle w:val="Paragraphedeliste"/>
        <w:numPr>
          <w:ilvl w:val="2"/>
          <w:numId w:val="141"/>
        </w:numPr>
        <w:spacing w:before="120"/>
        <w:jc w:val="both"/>
        <w:rPr>
          <w:u w:val="single"/>
        </w:rPr>
      </w:pPr>
      <w:r w:rsidRPr="00943535">
        <w:rPr>
          <w:u w:val="single"/>
        </w:rPr>
        <w:t>Mortalité maternelle</w:t>
      </w:r>
    </w:p>
    <w:p w:rsidR="00AE6C6F" w:rsidRPr="00EC2E68" w:rsidRDefault="00AE6C6F" w:rsidP="004D2D91">
      <w:pPr>
        <w:spacing w:before="120" w:line="276" w:lineRule="auto"/>
        <w:jc w:val="both"/>
      </w:pPr>
      <w:r w:rsidRPr="00EC2E68">
        <w:t xml:space="preserve">Les taux de mortalité maternelle les plus élevés au monde sont également enregistrés en Afrique subsaharienne. Des estimations récentes de l’Organisation </w:t>
      </w:r>
      <w:r w:rsidR="00083780">
        <w:t>M</w:t>
      </w:r>
      <w:r w:rsidR="00083780" w:rsidRPr="00EC2E68">
        <w:t xml:space="preserve">ondiale </w:t>
      </w:r>
      <w:r w:rsidRPr="00EC2E68">
        <w:t xml:space="preserve">de la </w:t>
      </w:r>
      <w:r w:rsidR="00083780">
        <w:t>S</w:t>
      </w:r>
      <w:r w:rsidR="00083780" w:rsidRPr="00EC2E68">
        <w:t xml:space="preserve">anté </w:t>
      </w:r>
      <w:r w:rsidRPr="00EC2E68">
        <w:t xml:space="preserve">(OMS) attestent que dans sa vie, une femme vivant en Afrique subsaharienne a une chance sur 16 de mourir pendant la grossesse ou l’accouchement </w:t>
      </w:r>
      <w:r w:rsidR="001B585D" w:rsidRPr="00EC2E68">
        <w:fldChar w:fldCharType="begin"/>
      </w:r>
      <w:r w:rsidRPr="00EC2E68">
        <w:instrText xml:space="preserve"> ADDIN EN.CITE &lt;EndNote&gt;&lt;Cite&gt;&lt;Author&gt;OMS&lt;/Author&gt;&lt;Year&gt;2015&lt;/Year&gt;&lt;RecNum&gt;1667&lt;/RecNum&gt;&lt;DisplayText&gt;(OMS, 2015)&lt;/DisplayText&gt;&lt;record&gt;&lt;rec-number&gt;1667&lt;/rec-number&gt;&lt;foreign-keys&gt;&lt;key app="EN" db-id="rp90rxe0lfwt04ewwrups2vqpf2xffxfw022" timestamp="1479322301"&gt;1667&lt;/key&gt;&lt;/foreign-keys&gt;&lt;ref-type name="Journal Article"&gt;17&lt;/ref-type&gt;&lt;contributors&gt;&lt;authors&gt;&lt;author&gt;OMS&lt;/author&gt;&lt;/authors&gt;&lt;/contributors&gt;&lt;titles&gt;&lt;title&gt;Tendances de la mortalité maternelle: 1991-2015: estimations de l&amp;apos;OMS, l&amp;apos;UNICEF, l&amp;apos;UNFPA, le Groupe de la Banque mondiale et la Division de la population des Nations Unies: résumé d&amp;apos;orientation&lt;/title&gt;&lt;/titles&gt;&lt;dates&gt;&lt;year&gt;2015&lt;/year&gt;&lt;/dates&gt;&lt;urls&gt;&lt;/urls&gt;&lt;/record&gt;&lt;/Cite&gt;&lt;/EndNote&gt;</w:instrText>
      </w:r>
      <w:r w:rsidR="001B585D" w:rsidRPr="00EC2E68">
        <w:fldChar w:fldCharType="separate"/>
      </w:r>
      <w:r w:rsidRPr="00EC2E68">
        <w:rPr>
          <w:noProof/>
        </w:rPr>
        <w:t>(</w:t>
      </w:r>
      <w:hyperlink w:anchor="_ENREF_34" w:tooltip="OMS, 2015 #1667" w:history="1">
        <w:r w:rsidRPr="00EC2E68">
          <w:rPr>
            <w:noProof/>
          </w:rPr>
          <w:t>OMS, 2015</w:t>
        </w:r>
      </w:hyperlink>
      <w:r w:rsidRPr="00EC2E68">
        <w:rPr>
          <w:noProof/>
        </w:rPr>
        <w:t>)</w:t>
      </w:r>
      <w:r w:rsidR="001B585D" w:rsidRPr="00EC2E68">
        <w:fldChar w:fldCharType="end"/>
      </w:r>
      <w:r w:rsidRPr="00EC2E68">
        <w:t xml:space="preserve">. Ce risque n’est que d’un pour 2 800 pour une femme </w:t>
      </w:r>
      <w:r w:rsidR="00755F08">
        <w:t xml:space="preserve">vivant </w:t>
      </w:r>
      <w:r w:rsidRPr="00EC2E68">
        <w:t>dans le</w:t>
      </w:r>
      <w:r w:rsidR="00F95D17">
        <w:t xml:space="preserve">s pays </w:t>
      </w:r>
      <w:r w:rsidRPr="00EC2E68">
        <w:t>développé</w:t>
      </w:r>
      <w:r w:rsidR="00F95D17">
        <w:t>s</w:t>
      </w:r>
      <w:r w:rsidRPr="00EC2E68">
        <w:t xml:space="preserve">. Près d’un million d’enfants perdent leur mère chaque année du fait de décès maternels </w:t>
      </w:r>
      <w:r w:rsidR="001B585D" w:rsidRPr="00EC2E68">
        <w:fldChar w:fldCharType="begin"/>
      </w:r>
      <w:r w:rsidRPr="00EC2E68">
        <w:instrText xml:space="preserve"> ADDIN EN.CITE &lt;EndNote&gt;&lt;Cite&gt;&lt;Author&gt;UNICEF&lt;/Author&gt;&lt;Year&gt;2015&lt;/Year&gt;&lt;RecNum&gt;1694&lt;/RecNum&gt;&lt;DisplayText&gt;(UNICEF, 2015)&lt;/DisplayText&gt;&lt;record&gt;&lt;rec-number&gt;1694&lt;/rec-number&gt;&lt;foreign-keys&gt;&lt;key app="EN" db-id="rp90rxe0lfwt04ewwrups2vqpf2xffxfw022" timestamp="1479477048"&gt;1694&lt;/key&gt;&lt;/foreign-keys&gt;&lt;ref-type name="Report"&gt;27&lt;/ref-type&gt;&lt;contributors&gt;&lt;authors&gt;&lt;author&gt;UNICEF&lt;/author&gt;&lt;/authors&gt;&lt;/contributors&gt;&lt;titles&gt;&lt;title&gt;Levels and trends in child mortality&lt;/title&gt;&lt;/titles&gt;&lt;pages&gt;32&lt;/pages&gt;&lt;dates&gt;&lt;year&gt;2015&lt;/year&gt;&lt;/dates&gt;&lt;pub-location&gt;New York&lt;/pub-location&gt;&lt;publisher&gt;UNICEF&lt;/publisher&gt;&lt;urls&gt;&lt;/urls&gt;&lt;/record&gt;&lt;/Cite&gt;&lt;/EndNote&gt;</w:instrText>
      </w:r>
      <w:r w:rsidR="001B585D" w:rsidRPr="00EC2E68">
        <w:fldChar w:fldCharType="separate"/>
      </w:r>
      <w:r w:rsidRPr="00EC2E68">
        <w:rPr>
          <w:noProof/>
        </w:rPr>
        <w:t>(</w:t>
      </w:r>
      <w:hyperlink w:anchor="_ENREF_41" w:tooltip="UNICEF, 2015 #1694" w:history="1">
        <w:r w:rsidRPr="00EC2E68">
          <w:rPr>
            <w:noProof/>
          </w:rPr>
          <w:t>UNICEF, 2015</w:t>
        </w:r>
      </w:hyperlink>
      <w:r w:rsidR="00C72814">
        <w:t> ; UNFPA, 2016</w:t>
      </w:r>
      <w:r w:rsidRPr="00EC2E68">
        <w:rPr>
          <w:noProof/>
        </w:rPr>
        <w:t>)</w:t>
      </w:r>
      <w:r w:rsidR="001B585D" w:rsidRPr="00EC2E68">
        <w:fldChar w:fldCharType="end"/>
      </w:r>
      <w:r w:rsidRPr="00EC2E68">
        <w:t>. La forte prévalence de la mortalité et de la morbidité liées à la grossesse</w:t>
      </w:r>
      <w:r w:rsidR="004C7113">
        <w:t>,</w:t>
      </w:r>
      <w:r w:rsidRPr="00EC2E68">
        <w:t xml:space="preserve"> à l’accouchement </w:t>
      </w:r>
      <w:r w:rsidR="004C7113" w:rsidRPr="00EC2E68">
        <w:t xml:space="preserve">ou </w:t>
      </w:r>
      <w:r w:rsidR="004C7113">
        <w:t xml:space="preserve">au post-partum </w:t>
      </w:r>
      <w:r w:rsidRPr="00EC2E68">
        <w:t xml:space="preserve">s’expliquerait en grande partie par le non recours aux soins obstétricaux essentiels </w:t>
      </w:r>
      <w:r w:rsidR="001B585D" w:rsidRPr="00EC2E68">
        <w:fldChar w:fldCharType="begin"/>
      </w:r>
      <w:r w:rsidRPr="00EC2E68">
        <w:instrText xml:space="preserve"> ADDIN EN.CITE &lt;EndNote&gt;&lt;Cite&gt;&lt;Author&gt;Beninguisse&lt;/Author&gt;&lt;Year&gt;2012&lt;/Year&gt;&lt;RecNum&gt;1705&lt;/RecNum&gt;&lt;DisplayText&gt;(Beninguisse et al., 2012, Bouba Djourdebbé, 2010)&lt;/DisplayText&gt;&lt;record&gt;&lt;rec-number&gt;1705&lt;/rec-number&gt;&lt;foreign-keys&gt;&lt;key app="EN" db-id="rp90rxe0lfwt04ewwrups2vqpf2xffxfw022" timestamp="1479558817"&gt;1705&lt;/key&gt;&lt;/foreign-keys&gt;&lt;ref-type name="Book"&gt;6&lt;/ref-type&gt;&lt;contributors&gt;&lt;authors&gt;&lt;author&gt;Beninguisse, Gervais&lt;/author&gt;&lt;author&gt;Kalambayi Banza, Barthélémy&lt;/author&gt;&lt;author&gt;Bingoly-Liword, Germain&lt;/author&gt;&lt;/authors&gt;&lt;/contributors&gt;&lt;titles&gt;&lt;title&gt;Santé de la reproduction, genre et droits des enfants au Congo: enjeux et défis: une analyse approfondie des données de l&amp;apos;EDSCI-2005&lt;/title&gt;&lt;/titles&gt;&lt;pages&gt;343&lt;/pages&gt;&lt;dates&gt;&lt;year&gt;2012&lt;/year&gt;&lt;/dates&gt;&lt;pub-location&gt;Louvain-la-neuve&lt;/pub-location&gt;&lt;publisher&gt;Harmattan-Academia&lt;/publisher&gt;&lt;urls&gt;&lt;/urls&gt;&lt;/record&gt;&lt;/Cite&gt;&lt;Cite&gt;&lt;Author&gt;Bouba Djourdebbé&lt;/Author&gt;&lt;Year&gt;2010&lt;/Year&gt;&lt;RecNum&gt;1342&lt;/RecNum&gt;&lt;record&gt;&lt;rec-number&gt;1342&lt;/rec-number&gt;&lt;foreign-keys&gt;&lt;key app="EN" db-id="rp90rxe0lfwt04ewwrups2vqpf2xffxfw022" timestamp="1417524535"&gt;1342&lt;/key&gt;&lt;/foreign-keys&gt;&lt;ref-type name="Book"&gt;6&lt;/ref-type&gt;&lt;contributors&gt;&lt;authors&gt;&lt;author&gt;Bouba Djourdebbé, F.&lt;/author&gt;&lt;/authors&gt;&lt;/contributors&gt;&lt;titles&gt;&lt;title&gt;La déperdition des soins prénatals au Tchad&lt;/title&gt;&lt;/titles&gt;&lt;pages&gt;124&lt;/pages&gt;&lt;dates&gt;&lt;year&gt;2010&lt;/year&gt;&lt;/dates&gt;&lt;publisher&gt;EUE&lt;/publisher&gt;&lt;isbn&gt;10, 6131544840&lt;/isbn&gt;&lt;urls&gt;&lt;/urls&gt;&lt;/record&gt;&lt;/Cite&gt;&lt;/EndNote&gt;</w:instrText>
      </w:r>
      <w:r w:rsidR="001B585D" w:rsidRPr="00EC2E68">
        <w:fldChar w:fldCharType="separate"/>
      </w:r>
      <w:r w:rsidRPr="00EC2E68">
        <w:rPr>
          <w:noProof/>
        </w:rPr>
        <w:t>(</w:t>
      </w:r>
      <w:hyperlink w:anchor="_ENREF_3" w:tooltip="Beninguisse, 2012 #1705" w:history="1">
        <w:r w:rsidRPr="00EC2E68">
          <w:rPr>
            <w:noProof/>
          </w:rPr>
          <w:t>Beninguisse et al., 2012</w:t>
        </w:r>
      </w:hyperlink>
      <w:r w:rsidRPr="00EC2E68">
        <w:rPr>
          <w:noProof/>
        </w:rPr>
        <w:t xml:space="preserve">, </w:t>
      </w:r>
      <w:hyperlink w:anchor="_ENREF_7" w:tooltip="Bouba Djourdebbé, 2010 #1342" w:history="1">
        <w:r w:rsidRPr="00EC2E68">
          <w:rPr>
            <w:noProof/>
          </w:rPr>
          <w:t>Bouba Djourdebbé, 2010</w:t>
        </w:r>
      </w:hyperlink>
      <w:r w:rsidRPr="00EC2E68">
        <w:rPr>
          <w:noProof/>
        </w:rPr>
        <w:t>)</w:t>
      </w:r>
      <w:r w:rsidR="001B585D" w:rsidRPr="00EC2E68">
        <w:fldChar w:fldCharType="end"/>
      </w:r>
      <w:r w:rsidRPr="00EC2E68">
        <w:t>.</w:t>
      </w:r>
      <w:r w:rsidR="003527B2">
        <w:t xml:space="preserve"> Par ailleurs, cette situation est également liée aux disparités de genre.</w:t>
      </w:r>
    </w:p>
    <w:p w:rsidR="007F2A88" w:rsidRDefault="00AE6C6F" w:rsidP="007F2A88">
      <w:pPr>
        <w:spacing w:before="120" w:line="276" w:lineRule="auto"/>
        <w:jc w:val="both"/>
      </w:pPr>
      <w:r w:rsidRPr="00EC2E68">
        <w:t>La mortalité maternelle est estimée à environ 780 décès maternels pour 100 000 naissances vivantes</w:t>
      </w:r>
      <w:r w:rsidR="00F95D17">
        <w:t xml:space="preserve"> au Cameroun</w:t>
      </w:r>
      <w:r w:rsidR="001B585D" w:rsidRPr="00EC2E68">
        <w:fldChar w:fldCharType="begin"/>
      </w:r>
      <w:r w:rsidRPr="00EC2E68">
        <w:instrText xml:space="preserve"> ADDIN EN.CITE &lt;EndNote&gt;&lt;Cite&gt;&lt;Author&gt;INS et ICF International&lt;/Author&gt;&lt;Year&gt;2012&lt;/Year&gt;&lt;RecNum&gt;1669&lt;/RecNum&gt;&lt;DisplayText&gt;(INS et ICF International, 2012)&lt;/DisplayText&gt;&lt;record&gt;&lt;rec-number&gt;1669&lt;/rec-number&gt;&lt;foreign-keys&gt;&lt;key app="EN" db-id="rp90rxe0lfwt04ewwrups2vqpf2xffxfw022" timestamp="1479377594"&gt;1669&lt;/key&gt;&lt;/foreign-keys&gt;&lt;ref-type name="Report"&gt;27&lt;/ref-type&gt;&lt;contributors&gt;&lt;authors&gt;&lt;author&gt;INS et ICF International,&lt;/author&gt;&lt;/authors&gt;&lt;/contributors&gt;&lt;titles&gt;&lt;title&gt;Enquête démographique et de santé et à indicateurs multiples au Cameroun 2011&lt;/title&gt;&lt;/titles&gt;&lt;pages&gt;546&lt;/pages&gt;&lt;dates&gt;&lt;year&gt;2012&lt;/year&gt;&lt;/dates&gt;&lt;pub-location&gt;Calverton, Maryland, USA&lt;/pub-location&gt;&lt;publisher&gt;INS et ICF International&lt;/publisher&gt;&lt;urls&gt;&lt;/urls&gt;&lt;/record&gt;&lt;/Cite&gt;&lt;/EndNote&gt;</w:instrText>
      </w:r>
      <w:r w:rsidR="001B585D" w:rsidRPr="00EC2E68">
        <w:fldChar w:fldCharType="separate"/>
      </w:r>
      <w:r w:rsidRPr="00EC2E68">
        <w:rPr>
          <w:noProof/>
        </w:rPr>
        <w:t>(</w:t>
      </w:r>
      <w:hyperlink w:anchor="_ENREF_20" w:tooltip="INS et ICF International, 2012 #1669" w:history="1">
        <w:r w:rsidRPr="00EC2E68">
          <w:rPr>
            <w:noProof/>
          </w:rPr>
          <w:t>INS et ICF International, 2012</w:t>
        </w:r>
      </w:hyperlink>
      <w:r w:rsidRPr="00EC2E68">
        <w:rPr>
          <w:noProof/>
        </w:rPr>
        <w:t>)</w:t>
      </w:r>
      <w:r w:rsidR="001B585D" w:rsidRPr="00EC2E68">
        <w:fldChar w:fldCharType="end"/>
      </w:r>
      <w:r w:rsidRPr="00EC2E68">
        <w:t xml:space="preserve">. Ces décès maternels représentent 22% de l’ensemble de décès chez les femmes en âge de procréer. La mortalité maternelle a augmenté significativement au Cameroun durant la période 2004-2011 comparativement à la période 1991-1998 </w:t>
      </w:r>
      <w:r w:rsidR="001B585D" w:rsidRPr="00EC2E68">
        <w:fldChar w:fldCharType="begin"/>
      </w:r>
      <w:r w:rsidRPr="00EC2E68">
        <w:instrText xml:space="preserve"> ADDIN EN.CITE &lt;EndNote&gt;&lt;Cite&gt;&lt;Author&gt;INS et ICF International&lt;/Author&gt;&lt;Year&gt;2012&lt;/Year&gt;&lt;RecNum&gt;1669&lt;/RecNum&gt;&lt;DisplayText&gt;(INS et ICF International, 2012, INS et ORC Macro, 1992)&lt;/DisplayText&gt;&lt;record&gt;&lt;rec-number&gt;1669&lt;/rec-number&gt;&lt;foreign-keys&gt;&lt;key app="EN" db-id="rp90rxe0lfwt04ewwrups2vqpf2xffxfw022" timestamp="1479377594"&gt;1669&lt;/key&gt;&lt;/foreign-keys&gt;&lt;ref-type name="Report"&gt;27&lt;/ref-type&gt;&lt;contributors&gt;&lt;authors&gt;&lt;author&gt;INS et ICF International,&lt;/author&gt;&lt;/authors&gt;&lt;/contributors&gt;&lt;titles&gt;&lt;title&gt;Enquête démographique et de santé et à indicateurs multiples au Cameroun 2011&lt;/title&gt;&lt;/titles&gt;&lt;pages&gt;546&lt;/pages&gt;&lt;dates&gt;&lt;year&gt;2012&lt;/year&gt;&lt;/dates&gt;&lt;pub-location&gt;Calverton, Maryland, USA&lt;/pub-location&gt;&lt;publisher&gt;INS et ICF International&lt;/publisher&gt;&lt;urls&gt;&lt;/urls&gt;&lt;/record&gt;&lt;/Cite&gt;&lt;Cite&gt;&lt;Author&gt;INS et ORC Macro&lt;/Author&gt;&lt;Year&gt;1992&lt;/Year&gt;&lt;RecNum&gt;1671&lt;/RecNum&gt;&lt;record&gt;&lt;rec-number&gt;1671&lt;/rec-number&gt;&lt;foreign-keys&gt;&lt;key app="EN" db-id="rp90rxe0lfwt04ewwrups2vqpf2xffxfw022" timestamp="1479379321"&gt;1671&lt;/key&gt;&lt;/foreign-keys&gt;&lt;ref-type name="Report"&gt;27&lt;/ref-type&gt;&lt;contributors&gt;&lt;authors&gt;&lt;author&gt;INS et ORC Macro,&lt;/author&gt;&lt;/authors&gt;&lt;/contributors&gt;&lt;titles&gt;&lt;title&gt;Enquête démographique et de santé au Cameroun 1991&lt;/title&gt;&lt;/titles&gt;&lt;pages&gt;270&lt;/pages&gt;&lt;dates&gt;&lt;year&gt;1992&lt;/year&gt;&lt;/dates&gt;&lt;pub-location&gt;Calverton, Maryland, USA&lt;/pub-location&gt;&lt;publisher&gt;INS et ORC Macro&lt;/publisher&gt;&lt;urls&gt;&lt;/urls&gt;&lt;/record&gt;&lt;/Cite&gt;&lt;/EndNote&gt;</w:instrText>
      </w:r>
      <w:r w:rsidR="001B585D" w:rsidRPr="00EC2E68">
        <w:fldChar w:fldCharType="separate"/>
      </w:r>
      <w:r w:rsidRPr="00EC2E68">
        <w:rPr>
          <w:noProof/>
        </w:rPr>
        <w:t>(</w:t>
      </w:r>
      <w:hyperlink w:anchor="_ENREF_20" w:tooltip="INS et ICF International, 2012 #1669" w:history="1">
        <w:r w:rsidRPr="00EC2E68">
          <w:rPr>
            <w:noProof/>
          </w:rPr>
          <w:t>INS et ICF International, 2012</w:t>
        </w:r>
      </w:hyperlink>
      <w:r w:rsidRPr="00EC2E68">
        <w:rPr>
          <w:noProof/>
        </w:rPr>
        <w:t xml:space="preserve">, </w:t>
      </w:r>
      <w:hyperlink w:anchor="_ENREF_21" w:tooltip="INS et ORC Macro, 1992 #1671" w:history="1">
        <w:r w:rsidRPr="00EC2E68">
          <w:rPr>
            <w:noProof/>
          </w:rPr>
          <w:t>INS et ORC Macro, 1992</w:t>
        </w:r>
      </w:hyperlink>
      <w:r w:rsidRPr="00EC2E68">
        <w:rPr>
          <w:noProof/>
        </w:rPr>
        <w:t>)</w:t>
      </w:r>
      <w:r w:rsidR="001B585D" w:rsidRPr="00EC2E68">
        <w:fldChar w:fldCharType="end"/>
      </w:r>
      <w:r w:rsidRPr="00EC2E68">
        <w:t>.</w:t>
      </w:r>
      <w:r w:rsidR="007F2A88">
        <w:t xml:space="preserve"> On suppose qu'au cours de la période de modélisation la mortalité maternelle sera en baisse.</w:t>
      </w:r>
    </w:p>
    <w:p w:rsidR="00D43463" w:rsidRDefault="00D43463" w:rsidP="007F2A88">
      <w:pPr>
        <w:spacing w:before="120" w:line="276" w:lineRule="auto"/>
        <w:jc w:val="both"/>
      </w:pPr>
    </w:p>
    <w:p w:rsidR="00D43463" w:rsidRDefault="009D0363" w:rsidP="009D0363">
      <w:r>
        <w:br w:type="page"/>
      </w:r>
    </w:p>
    <w:p w:rsidR="00CB6BA5" w:rsidRPr="007F2A88" w:rsidRDefault="00CB6BA5" w:rsidP="00376291">
      <w:pPr>
        <w:pStyle w:val="Paragraphedeliste"/>
        <w:numPr>
          <w:ilvl w:val="2"/>
          <w:numId w:val="141"/>
        </w:numPr>
        <w:spacing w:before="120" w:line="276" w:lineRule="auto"/>
        <w:jc w:val="both"/>
        <w:rPr>
          <w:u w:val="single"/>
        </w:rPr>
      </w:pPr>
      <w:r w:rsidRPr="007F2A88">
        <w:rPr>
          <w:bCs/>
          <w:u w:val="single"/>
        </w:rPr>
        <w:lastRenderedPageBreak/>
        <w:t>Espérance de vie à la naissance</w:t>
      </w:r>
    </w:p>
    <w:p w:rsidR="007F2A88" w:rsidRDefault="00CB6BA5" w:rsidP="005B317B">
      <w:pPr>
        <w:spacing w:before="120" w:line="276" w:lineRule="auto"/>
        <w:jc w:val="both"/>
        <w:rPr>
          <w:lang w:val="fr-CA"/>
        </w:rPr>
      </w:pPr>
      <w:r w:rsidRPr="00EC2E68">
        <w:rPr>
          <w:lang w:val="fr-CA"/>
        </w:rPr>
        <w:t xml:space="preserve">Les progrès économiques et sociaux avec l’essor de la médecine ont contribué à une diminution de la mortalité et à relever l'espérance de vie à la naissance en Afrique subsaharienne à 55 ans </w:t>
      </w:r>
      <w:r w:rsidR="001B585D" w:rsidRPr="00EC2E68">
        <w:rPr>
          <w:lang w:val="fr-CA"/>
        </w:rPr>
        <w:fldChar w:fldCharType="begin"/>
      </w:r>
      <w:r w:rsidRPr="00EC2E68">
        <w:rPr>
          <w:lang w:val="fr-CA"/>
        </w:rPr>
        <w:instrText xml:space="preserve"> ADDIN EN.CITE &lt;EndNote&gt;&lt;Cite&gt;&lt;Author&gt;Leridon&lt;/Author&gt;&lt;Year&gt;2015&lt;/Year&gt;&lt;RecNum&gt;1660&lt;/RecNum&gt;&lt;DisplayText&gt;(Leridon, 2015)&lt;/DisplayText&gt;&lt;record&gt;&lt;rec-number&gt;1660&lt;/rec-number&gt;&lt;foreign-keys&gt;&lt;key app="EN" db-id="rp90rxe0lfwt04ewwrups2vqpf2xffxfw022" timestamp="1479320569"&gt;1660&lt;/key&gt;&lt;/foreign-keys&gt;&lt;ref-type name="Journal Article"&gt;17&lt;/ref-type&gt;&lt;contributors&gt;&lt;authors&gt;&lt;author&gt;Leridon, Henri&lt;/author&gt;&lt;/authors&gt;&lt;/contributors&gt;&lt;titles&gt;&lt;title&gt;Afrique subsaharienne: une transition démographique explosive&lt;/title&gt;&lt;secondary-title&gt;Futuribles&lt;/secondary-title&gt;&lt;/titles&gt;&lt;periodical&gt;&lt;full-title&gt;Futuribles&lt;/full-title&gt;&lt;/periodical&gt;&lt;pages&gt;5-21&lt;/pages&gt;&lt;volume&gt;407&lt;/volume&gt;&lt;dates&gt;&lt;year&gt;2015&lt;/year&gt;&lt;/dates&gt;&lt;urls&gt;&lt;/urls&gt;&lt;/record&gt;&lt;/Cite&gt;&lt;/EndNote&gt;</w:instrText>
      </w:r>
      <w:r w:rsidR="001B585D" w:rsidRPr="00EC2E68">
        <w:rPr>
          <w:lang w:val="fr-CA"/>
        </w:rPr>
        <w:fldChar w:fldCharType="separate"/>
      </w:r>
      <w:r w:rsidRPr="00EC2E68">
        <w:rPr>
          <w:noProof/>
          <w:lang w:val="fr-CA"/>
        </w:rPr>
        <w:t>(</w:t>
      </w:r>
      <w:hyperlink w:anchor="_ENREF_25" w:tooltip="Leridon, 2015 #1660" w:history="1">
        <w:r w:rsidRPr="00EC2E68">
          <w:rPr>
            <w:noProof/>
            <w:lang w:val="fr-CA"/>
          </w:rPr>
          <w:t>Leridon, 2015</w:t>
        </w:r>
      </w:hyperlink>
      <w:r w:rsidRPr="00EC2E68">
        <w:rPr>
          <w:noProof/>
          <w:lang w:val="fr-CA"/>
        </w:rPr>
        <w:t>)</w:t>
      </w:r>
      <w:r w:rsidR="001B585D" w:rsidRPr="00EC2E68">
        <w:rPr>
          <w:lang w:val="fr-CA"/>
        </w:rPr>
        <w:fldChar w:fldCharType="end"/>
      </w:r>
      <w:r w:rsidRPr="00EC2E68">
        <w:rPr>
          <w:lang w:val="fr-CA"/>
        </w:rPr>
        <w:t>. Bien avant le XVIII</w:t>
      </w:r>
      <w:r w:rsidR="00DC58AD">
        <w:rPr>
          <w:vertAlign w:val="superscript"/>
          <w:lang w:val="fr-CA"/>
        </w:rPr>
        <w:t>ème</w:t>
      </w:r>
      <w:r w:rsidRPr="00EC2E68">
        <w:rPr>
          <w:lang w:val="fr-CA"/>
        </w:rPr>
        <w:t xml:space="preserve"> siècle, toutes les populations avaient été soumises</w:t>
      </w:r>
      <w:r w:rsidR="007F2A88">
        <w:rPr>
          <w:lang w:val="fr-CA"/>
        </w:rPr>
        <w:t>,</w:t>
      </w:r>
      <w:r w:rsidRPr="00EC2E68">
        <w:rPr>
          <w:lang w:val="fr-CA"/>
        </w:rPr>
        <w:t xml:space="preserve"> durant des millénaires, à un régime démographique à forte fécondité en vue de contenir une mortalité ravageuse </w:t>
      </w:r>
      <w:r w:rsidR="001B585D" w:rsidRPr="00EC2E68">
        <w:rPr>
          <w:lang w:val="fr-CA"/>
        </w:rPr>
        <w:fldChar w:fldCharType="begin"/>
      </w:r>
      <w:r w:rsidRPr="00EC2E68">
        <w:rPr>
          <w:lang w:val="fr-CA"/>
        </w:rPr>
        <w:instrText xml:space="preserve"> ADDIN EN.CITE &lt;EndNote&gt;&lt;Cite&gt;&lt;Author&gt;Notestein&lt;/Author&gt;&lt;Year&gt;1945&lt;/Year&gt;&lt;RecNum&gt;1685&lt;/RecNum&gt;&lt;DisplayText&gt;(Notestein, 1945)&lt;/DisplayText&gt;&lt;record&gt;&lt;rec-number&gt;1685&lt;/rec-number&gt;&lt;foreign-keys&gt;&lt;key app="EN" db-id="rp90rxe0lfwt04ewwrups2vqpf2xffxfw022" timestamp="1479467507"&gt;1685&lt;/key&gt;&lt;/foreign-keys&gt;&lt;ref-type name="Journal Article"&gt;17&lt;/ref-type&gt;&lt;contributors&gt;&lt;authors&gt;&lt;author&gt;Notestein, Frank W&lt;/author&gt;&lt;/authors&gt;&lt;/contributors&gt;&lt;titles&gt;&lt;title&gt;Population: the long view&lt;/title&gt;&lt;/titles&gt;&lt;dates&gt;&lt;year&gt;1945&lt;/year&gt;&lt;/dates&gt;&lt;urls&gt;&lt;/urls&gt;&lt;/record&gt;&lt;/Cite&gt;&lt;/EndNote&gt;</w:instrText>
      </w:r>
      <w:r w:rsidR="001B585D" w:rsidRPr="00EC2E68">
        <w:rPr>
          <w:lang w:val="fr-CA"/>
        </w:rPr>
        <w:fldChar w:fldCharType="separate"/>
      </w:r>
      <w:r w:rsidRPr="00EC2E68">
        <w:rPr>
          <w:noProof/>
          <w:lang w:val="fr-CA"/>
        </w:rPr>
        <w:t>(</w:t>
      </w:r>
      <w:hyperlink w:anchor="_ENREF_32" w:tooltip="Notestein, 1945 #1685" w:history="1">
        <w:r w:rsidRPr="00EC2E68">
          <w:rPr>
            <w:noProof/>
            <w:lang w:val="fr-CA"/>
          </w:rPr>
          <w:t>Notestein, 1945</w:t>
        </w:r>
      </w:hyperlink>
      <w:r w:rsidRPr="00EC2E68">
        <w:rPr>
          <w:noProof/>
          <w:lang w:val="fr-CA"/>
        </w:rPr>
        <w:t>)</w:t>
      </w:r>
      <w:r w:rsidR="001B585D" w:rsidRPr="00EC2E68">
        <w:rPr>
          <w:lang w:val="fr-CA"/>
        </w:rPr>
        <w:fldChar w:fldCharType="end"/>
      </w:r>
      <w:r w:rsidRPr="00EC2E68">
        <w:rPr>
          <w:lang w:val="fr-CA"/>
        </w:rPr>
        <w:t xml:space="preserve">. L’espérance de vie dépassait difficilement 25 ans, et il fallait avoir en moyenne 6 à 7 enfants par femme pour assurer le remplacement des générations </w:t>
      </w:r>
      <w:r w:rsidR="001B585D" w:rsidRPr="00EC2E68">
        <w:rPr>
          <w:lang w:val="fr-CA"/>
        </w:rPr>
        <w:fldChar w:fldCharType="begin"/>
      </w:r>
      <w:r w:rsidRPr="00EC2E68">
        <w:rPr>
          <w:lang w:val="fr-CA"/>
        </w:rPr>
        <w:instrText xml:space="preserve"> ADDIN EN.CITE &lt;EndNote&gt;&lt;Cite&gt;&lt;Author&gt;Vallin&lt;/Author&gt;&lt;Year&gt;2002&lt;/Year&gt;&lt;RecNum&gt;1682&lt;/RecNum&gt;&lt;DisplayText&gt;(Vallin, 2002)&lt;/DisplayText&gt;&lt;record&gt;&lt;rec-number&gt;1682&lt;/rec-number&gt;&lt;foreign-keys&gt;&lt;key app="EN" db-id="rp90rxe0lfwt04ewwrups2vqpf2xffxfw022" timestamp="1479466932"&gt;1682&lt;/key&gt;&lt;/foreign-keys&gt;&lt;ref-type name="Journal Article"&gt;17&lt;/ref-type&gt;&lt;contributors&gt;&lt;authors&gt;&lt;author&gt;Vallin, Jacques&lt;/author&gt;&lt;/authors&gt;&lt;/contributors&gt;&lt;titles&gt;&lt;title&gt;La fin de la transition démographique, soulagement ou inquiétude?&lt;/title&gt;&lt;secondary-title&gt;Questions de population au Mali&lt;/secondary-title&gt;&lt;/titles&gt;&lt;periodical&gt;&lt;full-title&gt;Questions de population au Mali&lt;/full-title&gt;&lt;/periodical&gt;&lt;pages&gt;51&lt;/pages&gt;&lt;volume&gt;28&lt;/volume&gt;&lt;number&gt;1&lt;/number&gt;&lt;dates&gt;&lt;year&gt;2002&lt;/year&gt;&lt;/dates&gt;&lt;urls&gt;&lt;/urls&gt;&lt;/record&gt;&lt;/Cite&gt;&lt;/EndNote&gt;</w:instrText>
      </w:r>
      <w:r w:rsidR="001B585D" w:rsidRPr="00EC2E68">
        <w:rPr>
          <w:lang w:val="fr-CA"/>
        </w:rPr>
        <w:fldChar w:fldCharType="separate"/>
      </w:r>
      <w:r w:rsidRPr="00EC2E68">
        <w:rPr>
          <w:noProof/>
          <w:lang w:val="fr-CA"/>
        </w:rPr>
        <w:t>(</w:t>
      </w:r>
      <w:hyperlink w:anchor="_ENREF_42" w:tooltip="Vallin, 2002 #1682" w:history="1">
        <w:r w:rsidRPr="00EC2E68">
          <w:rPr>
            <w:noProof/>
            <w:lang w:val="fr-CA"/>
          </w:rPr>
          <w:t>Vallin, 2002</w:t>
        </w:r>
      </w:hyperlink>
      <w:r w:rsidRPr="00EC2E68">
        <w:rPr>
          <w:noProof/>
          <w:lang w:val="fr-CA"/>
        </w:rPr>
        <w:t>)</w:t>
      </w:r>
      <w:r w:rsidR="001B585D" w:rsidRPr="00EC2E68">
        <w:rPr>
          <w:lang w:val="fr-CA"/>
        </w:rPr>
        <w:fldChar w:fldCharType="end"/>
      </w:r>
      <w:r w:rsidRPr="00EC2E68">
        <w:rPr>
          <w:lang w:val="fr-CA"/>
        </w:rPr>
        <w:t>. L’équilibre traditionnel était fragilisé par les épidémies, les famines et</w:t>
      </w:r>
      <w:r w:rsidR="00E554EF">
        <w:rPr>
          <w:lang w:val="fr-CA"/>
        </w:rPr>
        <w:t xml:space="preserve"> les guerres entre les peuples.</w:t>
      </w:r>
    </w:p>
    <w:p w:rsidR="00CB6BA5" w:rsidRPr="00EC2E68" w:rsidRDefault="00CB6BA5" w:rsidP="005B317B">
      <w:pPr>
        <w:spacing w:before="120" w:line="276" w:lineRule="auto"/>
        <w:jc w:val="both"/>
        <w:rPr>
          <w:highlight w:val="yellow"/>
          <w:lang w:val="fr-CA"/>
        </w:rPr>
      </w:pPr>
      <w:r w:rsidRPr="00EC2E68">
        <w:rPr>
          <w:lang w:val="fr-CA"/>
        </w:rPr>
        <w:t>Aujourd’hui, l’espérance de vie à la naissance au sein de</w:t>
      </w:r>
      <w:r w:rsidR="007F2A88">
        <w:rPr>
          <w:lang w:val="fr-CA"/>
        </w:rPr>
        <w:t>s</w:t>
      </w:r>
      <w:r w:rsidRPr="00EC2E68">
        <w:rPr>
          <w:lang w:val="fr-CA"/>
        </w:rPr>
        <w:t xml:space="preserve"> population</w:t>
      </w:r>
      <w:r w:rsidR="007F2A88">
        <w:rPr>
          <w:lang w:val="fr-CA"/>
        </w:rPr>
        <w:t>s</w:t>
      </w:r>
      <w:r w:rsidRPr="00EC2E68">
        <w:rPr>
          <w:lang w:val="fr-CA"/>
        </w:rPr>
        <w:t xml:space="preserve"> ne cesse d’augmenter. Des gains en espérance de vie devraient encore être attendus (</w:t>
      </w:r>
      <w:r w:rsidR="007F2A88">
        <w:rPr>
          <w:lang w:val="fr-CA"/>
        </w:rPr>
        <w:t xml:space="preserve">et pourront </w:t>
      </w:r>
      <w:r w:rsidRPr="00EC2E68">
        <w:rPr>
          <w:lang w:val="fr-CA"/>
        </w:rPr>
        <w:t>atteindre jusqu’à 10,5 ans en 2050), avec</w:t>
      </w:r>
      <w:r w:rsidR="00805955">
        <w:rPr>
          <w:lang w:val="fr-CA"/>
        </w:rPr>
        <w:t xml:space="preserve"> comme corollaire</w:t>
      </w:r>
      <w:r w:rsidRPr="00EC2E68">
        <w:rPr>
          <w:lang w:val="fr-CA"/>
        </w:rPr>
        <w:t xml:space="preserve"> une augmentation des personnes âgées </w:t>
      </w:r>
      <w:r w:rsidR="001B585D" w:rsidRPr="00EC2E68">
        <w:rPr>
          <w:lang w:val="fr-CA"/>
        </w:rPr>
        <w:fldChar w:fldCharType="begin"/>
      </w:r>
      <w:r w:rsidRPr="00EC2E68">
        <w:rPr>
          <w:lang w:val="fr-CA"/>
        </w:rPr>
        <w:instrText xml:space="preserve"> ADDIN EN.CITE &lt;EndNote&gt;&lt;Cite&gt;&lt;Author&gt;Bloom&lt;/Author&gt;&lt;Year&gt;2013&lt;/Year&gt;&lt;RecNum&gt;1653&lt;/RecNum&gt;&lt;DisplayText&gt;(Bloom et al., 2013)&lt;/DisplayText&gt;&lt;record&gt;&lt;rec-number&gt;1653&lt;/rec-number&gt;&lt;foreign-keys&gt;&lt;key app="EN" db-id="rp90rxe0lfwt04ewwrups2vqpf2xffxfw022" timestamp="1479143505"&gt;1653&lt;/key&gt;&lt;/foreign-keys&gt;&lt;ref-type name="Report"&gt;27&lt;/ref-type&gt;&lt;contributors&gt;&lt;authors&gt;&lt;author&gt;Bloom, D. E.&lt;/author&gt;&lt;author&gt;Humair, S.&lt;/author&gt;&lt;author&gt;Rosenberg, L.&lt;/author&gt;&lt;author&gt;Sevilla, J. P.&lt;/author&gt;&lt;author&gt;Trussell, J.&lt;/author&gt;&lt;/authors&gt;&lt;/contributors&gt;&lt;titles&gt;&lt;title&gt;A Demographic dividend for sub-Saharan Africa: source, magnitude, and realization&lt;/title&gt;&lt;/titles&gt;&lt;pages&gt;23&lt;/pages&gt;&lt;dates&gt;&lt;year&gt;2013&lt;/year&gt;&lt;/dates&gt;&lt;pub-location&gt;Bonn&lt;/pub-location&gt;&lt;publisher&gt;IZA DP&lt;/publisher&gt;&lt;urls&gt;&lt;/urls&gt;&lt;/record&gt;&lt;/Cite&gt;&lt;/EndNote&gt;</w:instrText>
      </w:r>
      <w:r w:rsidR="001B585D" w:rsidRPr="00EC2E68">
        <w:rPr>
          <w:lang w:val="fr-CA"/>
        </w:rPr>
        <w:fldChar w:fldCharType="separate"/>
      </w:r>
      <w:r w:rsidRPr="00EC2E68">
        <w:rPr>
          <w:noProof/>
          <w:lang w:val="fr-CA"/>
        </w:rPr>
        <w:t>(</w:t>
      </w:r>
      <w:hyperlink w:anchor="_ENREF_5" w:tooltip="Bloom, 2013 #1653" w:history="1">
        <w:r w:rsidRPr="00EC2E68">
          <w:rPr>
            <w:noProof/>
            <w:lang w:val="fr-CA"/>
          </w:rPr>
          <w:t>Bloom et al., 2013</w:t>
        </w:r>
      </w:hyperlink>
      <w:r w:rsidRPr="00EC2E68">
        <w:rPr>
          <w:noProof/>
          <w:lang w:val="fr-CA"/>
        </w:rPr>
        <w:t>)</w:t>
      </w:r>
      <w:r w:rsidR="001B585D" w:rsidRPr="00EC2E68">
        <w:rPr>
          <w:lang w:val="fr-CA"/>
        </w:rPr>
        <w:fldChar w:fldCharType="end"/>
      </w:r>
      <w:r w:rsidRPr="00EC2E68">
        <w:rPr>
          <w:lang w:val="fr-CA"/>
        </w:rPr>
        <w:t>. Cela se produirait grâce aux progrès en matière de survie de l’enfant</w:t>
      </w:r>
      <w:r w:rsidR="00805955">
        <w:rPr>
          <w:rStyle w:val="Appelnotedebasdep"/>
          <w:lang w:val="fr-CA"/>
        </w:rPr>
        <w:footnoteReference w:id="9"/>
      </w:r>
      <w:r w:rsidRPr="00EC2E68">
        <w:rPr>
          <w:lang w:val="fr-CA"/>
        </w:rPr>
        <w:t>, de lutte contre le paludisme et d’extension de l’accès aux médicaments antirétroviraux pour le traitement du VIH</w:t>
      </w:r>
      <w:r w:rsidR="00F3503E">
        <w:rPr>
          <w:lang w:val="fr-CA"/>
        </w:rPr>
        <w:t>/</w:t>
      </w:r>
      <w:r w:rsidR="004D6145">
        <w:rPr>
          <w:lang w:val="fr-CA"/>
        </w:rPr>
        <w:t>Sida</w:t>
      </w:r>
      <w:r w:rsidR="001B585D" w:rsidRPr="00EC2E68">
        <w:rPr>
          <w:lang w:val="fr-CA"/>
        </w:rPr>
        <w:fldChar w:fldCharType="begin"/>
      </w:r>
      <w:r w:rsidRPr="00EC2E68">
        <w:rPr>
          <w:lang w:val="fr-CA"/>
        </w:rPr>
        <w:instrText xml:space="preserve"> ADDIN EN.CITE &lt;EndNote&gt;&lt;Cite&gt;&lt;Author&gt;WHO&lt;/Author&gt;&lt;Year&gt;2016&lt;/Year&gt;&lt;RecNum&gt;1696&lt;/RecNum&gt;&lt;DisplayText&gt;(WHO, 2016)&lt;/DisplayText&gt;&lt;record&gt;&lt;rec-number&gt;1696&lt;/rec-number&gt;&lt;foreign-keys&gt;&lt;key app="EN" db-id="rp90rxe0lfwt04ewwrups2vqpf2xffxfw022" timestamp="1479478972"&gt;1696&lt;/key&gt;&lt;/foreign-keys&gt;&lt;ref-type name="Report"&gt;27&lt;/ref-type&gt;&lt;contributors&gt;&lt;authors&gt;&lt;author&gt;WHO&lt;/author&gt;&lt;/authors&gt;&lt;/contributors&gt;&lt;titles&gt;&lt;title&gt;World Health Statistics 2016 for the monitoring health for the sustainable development goals&lt;/title&gt;&lt;/titles&gt;&lt;pages&gt;121&lt;/pages&gt;&lt;dates&gt;&lt;year&gt;2016&lt;/year&gt;&lt;/dates&gt;&lt;pub-location&gt;New York&lt;/pub-location&gt;&lt;publisher&gt;WHO&lt;/publisher&gt;&lt;urls&gt;&lt;/urls&gt;&lt;/record&gt;&lt;/Cite&gt;&lt;/EndNote&gt;</w:instrText>
      </w:r>
      <w:r w:rsidR="001B585D" w:rsidRPr="00EC2E68">
        <w:rPr>
          <w:lang w:val="fr-CA"/>
        </w:rPr>
        <w:fldChar w:fldCharType="separate"/>
      </w:r>
      <w:r w:rsidRPr="00EC2E68">
        <w:rPr>
          <w:noProof/>
          <w:lang w:val="fr-CA"/>
        </w:rPr>
        <w:t>(</w:t>
      </w:r>
      <w:hyperlink w:anchor="_ENREF_45" w:tooltip="WHO, 2016 #1696" w:history="1">
        <w:r w:rsidRPr="00EC2E68">
          <w:rPr>
            <w:noProof/>
            <w:lang w:val="fr-CA"/>
          </w:rPr>
          <w:t>WHO, 2016</w:t>
        </w:r>
      </w:hyperlink>
      <w:r w:rsidRPr="00EC2E68">
        <w:rPr>
          <w:noProof/>
          <w:lang w:val="fr-CA"/>
        </w:rPr>
        <w:t>)</w:t>
      </w:r>
      <w:r w:rsidR="001B585D" w:rsidRPr="00EC2E68">
        <w:rPr>
          <w:lang w:val="fr-CA"/>
        </w:rPr>
        <w:fldChar w:fldCharType="end"/>
      </w:r>
      <w:r w:rsidRPr="00EC2E68">
        <w:rPr>
          <w:lang w:val="fr-CA"/>
        </w:rPr>
        <w:t>.</w:t>
      </w:r>
    </w:p>
    <w:p w:rsidR="00CB6BA5" w:rsidRPr="00EC2E68" w:rsidRDefault="004D6145" w:rsidP="005B317B">
      <w:pPr>
        <w:spacing w:before="120" w:line="276" w:lineRule="auto"/>
        <w:jc w:val="both"/>
      </w:pPr>
      <w:r>
        <w:t>Dans l’ensemble</w:t>
      </w:r>
      <w:r w:rsidR="00CB6BA5" w:rsidRPr="00EC2E68">
        <w:t xml:space="preserve">, l’espérance de vie à la naissance au Cameroun a connu une augmentation de 9,9 ans en 30 ans, </w:t>
      </w:r>
      <w:r w:rsidR="000600C8">
        <w:t xml:space="preserve">passant </w:t>
      </w:r>
      <w:r w:rsidR="00CB6BA5" w:rsidRPr="00EC2E68">
        <w:t xml:space="preserve">de 44,4 ans en 1976 à 54,3 en 2005 </w:t>
      </w:r>
      <w:r w:rsidR="001B585D" w:rsidRPr="00EC2E68">
        <w:fldChar w:fldCharType="begin"/>
      </w:r>
      <w:r w:rsidR="00CB6BA5" w:rsidRPr="00EC2E68">
        <w:instrText xml:space="preserve"> ADDIN EN.CITE &lt;EndNote&gt;&lt;Cite&gt;&lt;Author&gt;INS et ICF International&lt;/Author&gt;&lt;Year&gt;2012&lt;/Year&gt;&lt;RecNum&gt;1669&lt;/RecNum&gt;&lt;DisplayText&gt;(INS et ICF International, 2012)&lt;/DisplayText&gt;&lt;record&gt;&lt;rec-number&gt;1669&lt;/rec-number&gt;&lt;foreign-keys&gt;&lt;key app="EN" db-id="rp90rxe0lfwt04ewwrups2vqpf2xffxfw022" timestamp="1479377594"&gt;1669&lt;/key&gt;&lt;/foreign-keys&gt;&lt;ref-type name="Report"&gt;27&lt;/ref-type&gt;&lt;contributors&gt;&lt;authors&gt;&lt;author&gt;INS et ICF International,&lt;/author&gt;&lt;/authors&gt;&lt;/contributors&gt;&lt;titles&gt;&lt;title&gt;Enquête démographique et de santé et à indicateurs multiples au Cameroun 2011&lt;/title&gt;&lt;/titles&gt;&lt;pages&gt;546&lt;/pages&gt;&lt;dates&gt;&lt;year&gt;2012&lt;/year&gt;&lt;/dates&gt;&lt;pub-location&gt;Calverton, Maryland, USA&lt;/pub-location&gt;&lt;publisher&gt;INS et ICF International&lt;/publisher&gt;&lt;urls&gt;&lt;/urls&gt;&lt;/record&gt;&lt;/Cite&gt;&lt;/EndNote&gt;</w:instrText>
      </w:r>
      <w:r w:rsidR="001B585D" w:rsidRPr="00EC2E68">
        <w:fldChar w:fldCharType="separate"/>
      </w:r>
      <w:r w:rsidR="00CB6BA5" w:rsidRPr="00EC2E68">
        <w:rPr>
          <w:noProof/>
        </w:rPr>
        <w:t>(</w:t>
      </w:r>
      <w:hyperlink w:anchor="_ENREF_20" w:tooltip="INS et ICF International, 2012 #1669" w:history="1">
        <w:r w:rsidR="00CB6BA5" w:rsidRPr="00EC2E68">
          <w:rPr>
            <w:noProof/>
          </w:rPr>
          <w:t>INS et ICF International, 2012</w:t>
        </w:r>
      </w:hyperlink>
      <w:r w:rsidR="00CB6BA5" w:rsidRPr="00EC2E68">
        <w:rPr>
          <w:noProof/>
        </w:rPr>
        <w:t>)</w:t>
      </w:r>
      <w:r w:rsidR="001B585D" w:rsidRPr="00EC2E68">
        <w:fldChar w:fldCharType="end"/>
      </w:r>
      <w:r w:rsidR="00EC2E68">
        <w:t>.</w:t>
      </w:r>
      <w:r w:rsidR="005B317B">
        <w:t xml:space="preserve"> Cette tendance à la </w:t>
      </w:r>
      <w:r w:rsidR="000600C8">
        <w:t xml:space="preserve">hausse </w:t>
      </w:r>
      <w:r w:rsidR="005B317B">
        <w:t>devrait se poursuivre jusqu'en 205</w:t>
      </w:r>
      <w:r w:rsidR="00306076">
        <w:t>0</w:t>
      </w:r>
      <w:r w:rsidR="005B317B">
        <w:t xml:space="preserve">. On estime à 58,65 ans l'espérance de vie à la naissance des femmes en 2010 </w:t>
      </w:r>
      <w:r w:rsidR="005B317B" w:rsidRPr="005B317B">
        <w:t>(</w:t>
      </w:r>
      <w:r w:rsidR="005B317B" w:rsidRPr="005B317B">
        <w:rPr>
          <w:color w:val="000000"/>
          <w:lang w:val="fr-CA" w:eastAsia="fr-CA"/>
        </w:rPr>
        <w:t>Banque mondiale</w:t>
      </w:r>
      <w:r w:rsidR="008A2500">
        <w:rPr>
          <w:color w:val="000000"/>
          <w:lang w:val="fr-CA" w:eastAsia="fr-CA"/>
        </w:rPr>
        <w:t> </w:t>
      </w:r>
      <w:r>
        <w:rPr>
          <w:color w:val="000000"/>
          <w:lang w:val="fr-CA" w:eastAsia="fr-CA"/>
        </w:rPr>
        <w:t xml:space="preserve">; </w:t>
      </w:r>
      <w:r w:rsidR="005B317B" w:rsidRPr="005B317B">
        <w:rPr>
          <w:color w:val="000000"/>
          <w:lang w:val="fr-CA" w:eastAsia="fr-CA"/>
        </w:rPr>
        <w:t>INS et ICF International</w:t>
      </w:r>
      <w:r>
        <w:rPr>
          <w:color w:val="000000"/>
          <w:lang w:val="fr-CA" w:eastAsia="fr-CA"/>
        </w:rPr>
        <w:t>,</w:t>
      </w:r>
      <w:r w:rsidR="005B317B" w:rsidRPr="005B317B">
        <w:rPr>
          <w:color w:val="000000"/>
          <w:lang w:val="fr-CA" w:eastAsia="fr-CA"/>
        </w:rPr>
        <w:t xml:space="preserve"> 2010)</w:t>
      </w:r>
      <w:r w:rsidR="005B317B" w:rsidRPr="005B317B">
        <w:t>.</w:t>
      </w:r>
    </w:p>
    <w:p w:rsidR="00CB6BA5" w:rsidRPr="00376291" w:rsidRDefault="00CB6BA5" w:rsidP="00376291">
      <w:pPr>
        <w:pStyle w:val="Paragraphedeliste"/>
        <w:numPr>
          <w:ilvl w:val="2"/>
          <w:numId w:val="141"/>
        </w:numPr>
        <w:spacing w:before="120" w:line="276" w:lineRule="auto"/>
        <w:jc w:val="both"/>
        <w:rPr>
          <w:bCs/>
          <w:u w:val="single"/>
        </w:rPr>
      </w:pPr>
      <w:r w:rsidRPr="00376291">
        <w:rPr>
          <w:bCs/>
          <w:u w:val="single"/>
        </w:rPr>
        <w:t>P</w:t>
      </w:r>
      <w:r w:rsidR="00D72A5C" w:rsidRPr="00376291">
        <w:rPr>
          <w:bCs/>
          <w:u w:val="single"/>
        </w:rPr>
        <w:t>lanification familiale</w:t>
      </w:r>
    </w:p>
    <w:p w:rsidR="00C91D09" w:rsidRDefault="00D72A5C" w:rsidP="007B3553">
      <w:pPr>
        <w:spacing w:before="120" w:line="276" w:lineRule="auto"/>
        <w:jc w:val="both"/>
        <w:rPr>
          <w:lang w:val="fr-CA"/>
        </w:rPr>
      </w:pPr>
      <w:r>
        <w:rPr>
          <w:lang w:val="fr-CA"/>
        </w:rPr>
        <w:t>La planification familiale a toujours existé de tout temps dans les sociétés africaines pour la sauvegarde de la santé de la femme et de l'enfant</w:t>
      </w:r>
      <w:r w:rsidR="009B11F1">
        <w:rPr>
          <w:lang w:val="fr-CA"/>
        </w:rPr>
        <w:t xml:space="preserve"> (Evina Akam, 2005)</w:t>
      </w:r>
      <w:r>
        <w:rPr>
          <w:lang w:val="fr-CA"/>
        </w:rPr>
        <w:t xml:space="preserve">. </w:t>
      </w:r>
      <w:r w:rsidR="004D6145">
        <w:rPr>
          <w:lang w:val="fr-CA"/>
        </w:rPr>
        <w:t xml:space="preserve">Néanmoins, </w:t>
      </w:r>
      <w:r>
        <w:rPr>
          <w:lang w:val="fr-CA"/>
        </w:rPr>
        <w:t xml:space="preserve">les méthodes de régulation </w:t>
      </w:r>
      <w:r w:rsidR="00C91D09">
        <w:rPr>
          <w:lang w:val="fr-CA"/>
        </w:rPr>
        <w:t xml:space="preserve">des naissances </w:t>
      </w:r>
      <w:r>
        <w:rPr>
          <w:lang w:val="fr-CA"/>
        </w:rPr>
        <w:t>utilisées (appelées aujourd'hui méthodes traditionnelles), parfois très contrai</w:t>
      </w:r>
      <w:r w:rsidR="000600C8">
        <w:rPr>
          <w:lang w:val="fr-CA"/>
        </w:rPr>
        <w:t>gna</w:t>
      </w:r>
      <w:r>
        <w:rPr>
          <w:lang w:val="fr-CA"/>
        </w:rPr>
        <w:t>nte</w:t>
      </w:r>
      <w:r w:rsidR="00C91D09">
        <w:rPr>
          <w:lang w:val="fr-CA"/>
        </w:rPr>
        <w:t xml:space="preserve">s, non pas toujours </w:t>
      </w:r>
      <w:r w:rsidR="000600C8">
        <w:rPr>
          <w:lang w:val="fr-CA"/>
        </w:rPr>
        <w:t>eu les</w:t>
      </w:r>
      <w:r w:rsidR="00C91D09">
        <w:rPr>
          <w:lang w:val="fr-CA"/>
        </w:rPr>
        <w:t xml:space="preserve"> résultats escomptés. La modernisation de </w:t>
      </w:r>
      <w:r w:rsidR="000600C8">
        <w:rPr>
          <w:lang w:val="fr-CA"/>
        </w:rPr>
        <w:t>c</w:t>
      </w:r>
      <w:r w:rsidR="008A2500">
        <w:rPr>
          <w:lang w:val="fr-CA"/>
        </w:rPr>
        <w:t xml:space="preserve">es </w:t>
      </w:r>
      <w:r w:rsidR="00C91D09">
        <w:rPr>
          <w:lang w:val="fr-CA"/>
        </w:rPr>
        <w:t>sociétés à travers l'éducation moderne et l'urbanisation a réduit encore plus leur efficacité</w:t>
      </w:r>
      <w:r w:rsidR="00C91D09">
        <w:rPr>
          <w:rStyle w:val="Appelnotedebasdep"/>
          <w:lang w:val="fr-CA"/>
        </w:rPr>
        <w:footnoteReference w:id="10"/>
      </w:r>
      <w:r w:rsidR="00C91D09">
        <w:rPr>
          <w:lang w:val="fr-CA"/>
        </w:rPr>
        <w:t>.Il a fallu donc recourir à la planification familiale à l'aide de méthodes de régulation des naissances dites modernes</w:t>
      </w:r>
      <w:r w:rsidR="0062735B">
        <w:rPr>
          <w:lang w:val="fr-CA"/>
        </w:rPr>
        <w:t xml:space="preserve"> avec comme finalité première</w:t>
      </w:r>
      <w:r w:rsidR="000600C8">
        <w:rPr>
          <w:lang w:val="fr-CA"/>
        </w:rPr>
        <w:t>,</w:t>
      </w:r>
      <w:r w:rsidR="0062735B">
        <w:rPr>
          <w:lang w:val="fr-CA"/>
        </w:rPr>
        <w:t xml:space="preserve"> la préservation de la santé </w:t>
      </w:r>
      <w:r w:rsidR="000600C8">
        <w:rPr>
          <w:lang w:val="fr-CA"/>
        </w:rPr>
        <w:t xml:space="preserve">de la </w:t>
      </w:r>
      <w:r w:rsidR="0062735B">
        <w:rPr>
          <w:lang w:val="fr-CA"/>
        </w:rPr>
        <w:t>mère et de</w:t>
      </w:r>
      <w:r w:rsidR="000600C8">
        <w:rPr>
          <w:lang w:val="fr-CA"/>
        </w:rPr>
        <w:t xml:space="preserve"> l’</w:t>
      </w:r>
      <w:r w:rsidR="0062735B">
        <w:rPr>
          <w:lang w:val="fr-CA"/>
        </w:rPr>
        <w:t>enfant</w:t>
      </w:r>
      <w:r w:rsidR="000600C8">
        <w:rPr>
          <w:lang w:val="fr-CA"/>
        </w:rPr>
        <w:t>,</w:t>
      </w:r>
      <w:r w:rsidR="0062735B">
        <w:rPr>
          <w:lang w:val="fr-CA"/>
        </w:rPr>
        <w:t xml:space="preserve"> ainsi que la lutte contre l'infécondité et la stérilité</w:t>
      </w:r>
      <w:r w:rsidR="00C91D09">
        <w:rPr>
          <w:lang w:val="fr-CA"/>
        </w:rPr>
        <w:t>.</w:t>
      </w:r>
    </w:p>
    <w:p w:rsidR="00CB6BA5" w:rsidRDefault="00CB6BA5" w:rsidP="00CB189D">
      <w:pPr>
        <w:spacing w:before="120" w:line="276" w:lineRule="auto"/>
        <w:jc w:val="both"/>
        <w:rPr>
          <w:lang w:val="fr-CA"/>
        </w:rPr>
      </w:pPr>
      <w:r w:rsidRPr="00EC2E68">
        <w:rPr>
          <w:lang w:val="fr-CA"/>
        </w:rPr>
        <w:t>Bien que l</w:t>
      </w:r>
      <w:r w:rsidRPr="00EC2E68">
        <w:t xml:space="preserve">a planification familiale </w:t>
      </w:r>
      <w:r w:rsidR="00C91D09">
        <w:t xml:space="preserve">moderne </w:t>
      </w:r>
      <w:r w:rsidRPr="00EC2E68">
        <w:t xml:space="preserve">ait joué un rôle important dans la régulation de la fécondité </w:t>
      </w:r>
      <w:r w:rsidR="000600C8">
        <w:t xml:space="preserve">dans </w:t>
      </w:r>
      <w:r w:rsidRPr="00EC2E68">
        <w:t xml:space="preserve">de nombreux pays, </w:t>
      </w:r>
      <w:r w:rsidRPr="00EC2E68">
        <w:rPr>
          <w:lang w:val="fr-CA"/>
        </w:rPr>
        <w:t xml:space="preserve">l’absence d’une bonne information sur les moyens contraceptifs modernes semble être un facteur limitant leur utilisation et la régulation efficace des naissances. Les craintes, les rumeurs et les mythes liés aux méthodes de planification familiale peuvent décourager les femmes </w:t>
      </w:r>
      <w:r w:rsidR="000600C8">
        <w:rPr>
          <w:lang w:val="fr-CA"/>
        </w:rPr>
        <w:t>à</w:t>
      </w:r>
      <w:r w:rsidR="002B6037">
        <w:rPr>
          <w:lang w:val="fr-CA"/>
        </w:rPr>
        <w:t xml:space="preserve"> </w:t>
      </w:r>
      <w:r w:rsidRPr="00EC2E68">
        <w:rPr>
          <w:lang w:val="fr-CA"/>
        </w:rPr>
        <w:t>recourir aux</w:t>
      </w:r>
      <w:r w:rsidR="000600C8">
        <w:rPr>
          <w:lang w:val="fr-CA"/>
        </w:rPr>
        <w:t>dits</w:t>
      </w:r>
      <w:r w:rsidRPr="00EC2E68">
        <w:rPr>
          <w:lang w:val="fr-CA"/>
        </w:rPr>
        <w:t xml:space="preserve"> services </w:t>
      </w:r>
      <w:r w:rsidR="001B585D" w:rsidRPr="00EC2E68">
        <w:rPr>
          <w:lang w:val="fr-CA"/>
        </w:rPr>
        <w:fldChar w:fldCharType="begin"/>
      </w:r>
      <w:r w:rsidRPr="00EC2E68">
        <w:rPr>
          <w:lang w:val="fr-CA"/>
        </w:rPr>
        <w:instrText xml:space="preserve"> ADDIN EN.CITE &lt;EndNote&gt;&lt;Cite&gt;&lt;Author&gt;Chiesa-Moutanou&lt;/Author&gt;&lt;Year&gt;2001&lt;/Year&gt;&lt;RecNum&gt;1698&lt;/RecNum&gt;&lt;DisplayText&gt;(Chiesa-Moutanou and Tiemeni Wantou, 2001, Robinson et al., 2016)&lt;/DisplayText&gt;&lt;record&gt;&lt;rec-number&gt;1698&lt;/rec-number&gt;&lt;foreign-keys&gt;&lt;key app="EN" db-id="rp90rxe0lfwt04ewwrups2vqpf2xffxfw022" timestamp="1479552279"&gt;1698&lt;/key&gt;&lt;/foreign-keys&gt;&lt;ref-type name="Journal Article"&gt;17&lt;/ref-type&gt;&lt;contributors&gt;&lt;authors&gt;&lt;author&gt;Chiesa-Moutanou, S.&lt;/author&gt;&lt;author&gt;Tiemeni Wantou, G.&lt;/author&gt;&lt;/authors&gt;&lt;/contributors&gt;&lt;titles&gt;&lt;title&gt;Le comportement contraceptif des Gabonaises des méthodes modernes: faible taux d&amp;apos;utilisation et déficit d&amp;apos;information&lt;/title&gt;&lt;secondary-title&gt;Médecine d’Afrique Noire&lt;/secondary-title&gt;&lt;/titles&gt;&lt;periodical&gt;&lt;full-title&gt;Médecine d’Afrique Noire&lt;/full-title&gt;&lt;/periodical&gt;&lt;pages&gt;191-198&lt;/pages&gt;&lt;volume&gt;48&lt;/volume&gt;&lt;number&gt;5&lt;/number&gt;&lt;dates&gt;&lt;year&gt;2001&lt;/year&gt;&lt;/dates&gt;&lt;urls&gt;&lt;/urls&gt;&lt;/record&gt;&lt;/Cite&gt;&lt;Cite&gt;&lt;Author&gt;Robinson&lt;/Author&gt;&lt;Year&gt;2016&lt;/Year&gt;&lt;RecNum&gt;1702&lt;/RecNum&gt;&lt;record&gt;&lt;rec-number&gt;1702&lt;/rec-number&gt;&lt;foreign-keys&gt;&lt;key app="EN" db-id="rp90rxe0lfwt04ewwrups2vqpf2xffxfw022" timestamp="1479554215"&gt;1702&lt;/key&gt;&lt;/foreign-keys&gt;&lt;ref-type name="Journal Article"&gt;17&lt;/ref-type&gt;&lt;contributors&gt;&lt;authors&gt;&lt;author&gt;Robinson, Nuriya&lt;/author&gt;&lt;author&gt;Moshabela, Mosa&lt;/author&gt;&lt;author&gt;Owusu-Ansah, Lydia&lt;/author&gt;&lt;author&gt;Kapungu, Chisina&lt;/author&gt;&lt;author&gt;Geller, Stacie&lt;/author&gt;&lt;/authors&gt;&lt;/contributors&gt;&lt;titles&gt;&lt;title&gt;Barriers to intrauterine device uptake in a rural setting in Ghana&lt;/title&gt;&lt;secondary-title&gt;Health care for women international&lt;/secondary-title&gt;&lt;/titles&gt;&lt;periodical&gt;&lt;full-title&gt;Health care for women international&lt;/full-title&gt;&lt;/periodical&gt;&lt;pages&gt;197-215&lt;/pages&gt;&lt;volume&gt;37&lt;/volume&gt;&lt;number&gt;2&lt;/number&gt;&lt;dates&gt;&lt;year&gt;2016&lt;/year&gt;&lt;/dates&gt;&lt;isbn&gt;0739-9332&lt;/isbn&gt;&lt;urls&gt;&lt;/urls&gt;&lt;/record&gt;&lt;/Cite&gt;&lt;/EndNote&gt;</w:instrText>
      </w:r>
      <w:r w:rsidR="001B585D" w:rsidRPr="00EC2E68">
        <w:rPr>
          <w:lang w:val="fr-CA"/>
        </w:rPr>
        <w:fldChar w:fldCharType="separate"/>
      </w:r>
      <w:r w:rsidRPr="00EC2E68">
        <w:rPr>
          <w:noProof/>
          <w:lang w:val="fr-CA"/>
        </w:rPr>
        <w:t>(</w:t>
      </w:r>
      <w:hyperlink w:anchor="_ENREF_11" w:tooltip="Chiesa-Moutanou, 2001 #1698" w:history="1">
        <w:r w:rsidRPr="00EC2E68">
          <w:rPr>
            <w:noProof/>
            <w:lang w:val="fr-CA"/>
          </w:rPr>
          <w:t xml:space="preserve">Chiesa-Moutanou </w:t>
        </w:r>
        <w:r w:rsidR="004D6145">
          <w:rPr>
            <w:noProof/>
            <w:lang w:val="fr-CA"/>
          </w:rPr>
          <w:t>et</w:t>
        </w:r>
        <w:r w:rsidRPr="00EC2E68">
          <w:rPr>
            <w:noProof/>
            <w:lang w:val="fr-CA"/>
          </w:rPr>
          <w:t>Tiemeni Wantou, 2001</w:t>
        </w:r>
      </w:hyperlink>
      <w:r w:rsidRPr="00EC2E68">
        <w:rPr>
          <w:noProof/>
          <w:lang w:val="fr-CA"/>
        </w:rPr>
        <w:t xml:space="preserve">, </w:t>
      </w:r>
      <w:hyperlink w:anchor="_ENREF_35" w:tooltip="Robinson, 2016 #1702" w:history="1">
        <w:r w:rsidRPr="00EC2E68">
          <w:rPr>
            <w:noProof/>
            <w:lang w:val="fr-CA"/>
          </w:rPr>
          <w:t>Robinson et al., 2016</w:t>
        </w:r>
      </w:hyperlink>
      <w:r w:rsidRPr="00EC2E68">
        <w:rPr>
          <w:noProof/>
          <w:lang w:val="fr-CA"/>
        </w:rPr>
        <w:t>)</w:t>
      </w:r>
      <w:r w:rsidR="001B585D" w:rsidRPr="00EC2E68">
        <w:rPr>
          <w:lang w:val="fr-CA"/>
        </w:rPr>
        <w:fldChar w:fldCharType="end"/>
      </w:r>
      <w:r w:rsidRPr="00EC2E68">
        <w:rPr>
          <w:lang w:val="fr-CA"/>
        </w:rPr>
        <w:t xml:space="preserve">. </w:t>
      </w:r>
      <w:r w:rsidRPr="00EC2E68">
        <w:t xml:space="preserve">La peur de </w:t>
      </w:r>
      <w:r w:rsidRPr="00EC2E68">
        <w:lastRenderedPageBreak/>
        <w:t xml:space="preserve">la planification familiale avec des méthodes artificielles est grande, notamment celle de souffrir des effets secondaires et collatéraux </w:t>
      </w:r>
      <w:r w:rsidR="001B585D" w:rsidRPr="00EC2E68">
        <w:fldChar w:fldCharType="begin"/>
      </w:r>
      <w:r w:rsidRPr="00EC2E68">
        <w:instrText xml:space="preserve"> ADDIN EN.CITE &lt;EndNote&gt;&lt;Cite&gt;&lt;Author&gt;Rutenberg&lt;/Author&gt;&lt;Year&gt;1997&lt;/Year&gt;&lt;RecNum&gt;1683&lt;/RecNum&gt;&lt;DisplayText&gt;(Rutenberg and Watkins, 1997)&lt;/DisplayText&gt;&lt;record&gt;&lt;rec-number&gt;1683&lt;/rec-number&gt;&lt;foreign-keys&gt;&lt;key app="EN" db-id="rp90rxe0lfwt04ewwrups2vqpf2xffxfw022" timestamp="1479467293"&gt;1683&lt;/key&gt;&lt;/foreign-keys&gt;&lt;ref-type name="Journal Article"&gt;17&lt;/ref-type&gt;&lt;contributors&gt;&lt;authors&gt;&lt;author&gt;Rutenberg, Naomi&lt;/author&gt;&lt;author&gt;Watkins, Susan Cotts&lt;/author&gt;&lt;/authors&gt;&lt;/contributors&gt;&lt;titles&gt;&lt;title&gt;The buzz outside the clinics: conversations and contraception in Nyanza Province, Kenya&lt;/title&gt;&lt;secondary-title&gt;Studies in Family Planning&lt;/secondary-title&gt;&lt;/titles&gt;&lt;periodical&gt;&lt;full-title&gt;Studies in family planning&lt;/full-title&gt;&lt;/periodical&gt;&lt;pages&gt;290-307&lt;/pages&gt;&lt;volume&gt;28&lt;/volume&gt;&lt;number&gt;4&lt;/number&gt;&lt;dates&gt;&lt;year&gt;1997&lt;/year&gt;&lt;/dates&gt;&lt;isbn&gt;0039-3665&lt;/isbn&gt;&lt;urls&gt;&lt;/urls&gt;&lt;/record&gt;&lt;/Cite&gt;&lt;/EndNote&gt;</w:instrText>
      </w:r>
      <w:r w:rsidR="001B585D" w:rsidRPr="00EC2E68">
        <w:fldChar w:fldCharType="separate"/>
      </w:r>
      <w:r w:rsidRPr="00EC2E68">
        <w:rPr>
          <w:noProof/>
        </w:rPr>
        <w:t>(</w:t>
      </w:r>
      <w:hyperlink w:anchor="_ENREF_36" w:tooltip="Rutenberg, 1997 #1683" w:history="1">
        <w:r w:rsidRPr="00EC2E68">
          <w:rPr>
            <w:noProof/>
          </w:rPr>
          <w:t xml:space="preserve">Rutenberg </w:t>
        </w:r>
        <w:r w:rsidR="000600C8">
          <w:rPr>
            <w:noProof/>
          </w:rPr>
          <w:t>et</w:t>
        </w:r>
        <w:r w:rsidRPr="00EC2E68">
          <w:rPr>
            <w:noProof/>
          </w:rPr>
          <w:t>Watkins, 1997</w:t>
        </w:r>
      </w:hyperlink>
      <w:r w:rsidRPr="00EC2E68">
        <w:rPr>
          <w:noProof/>
        </w:rPr>
        <w:t>)</w:t>
      </w:r>
      <w:r w:rsidR="001B585D" w:rsidRPr="00EC2E68">
        <w:fldChar w:fldCharType="end"/>
      </w:r>
      <w:r w:rsidRPr="00EC2E68">
        <w:t xml:space="preserve">. </w:t>
      </w:r>
      <w:r w:rsidRPr="00EC2E68">
        <w:rPr>
          <w:lang w:val="fr-CA"/>
        </w:rPr>
        <w:t xml:space="preserve">Il </w:t>
      </w:r>
      <w:r w:rsidR="000600C8">
        <w:rPr>
          <w:lang w:val="fr-CA"/>
        </w:rPr>
        <w:t>y a</w:t>
      </w:r>
      <w:r w:rsidR="002B6037">
        <w:rPr>
          <w:lang w:val="fr-CA"/>
        </w:rPr>
        <w:t xml:space="preserve"> </w:t>
      </w:r>
      <w:r w:rsidRPr="00EC2E68">
        <w:rPr>
          <w:lang w:val="fr-CA"/>
        </w:rPr>
        <w:t>également une préoccupation sur la manière dont les méthodes modernes affectent la santé</w:t>
      </w:r>
      <w:r w:rsidR="0062735B">
        <w:rPr>
          <w:rStyle w:val="Appelnotedebasdep"/>
          <w:lang w:val="fr-CA"/>
        </w:rPr>
        <w:footnoteReference w:id="11"/>
      </w:r>
      <w:r w:rsidRPr="00EC2E68">
        <w:rPr>
          <w:lang w:val="fr-CA"/>
        </w:rPr>
        <w:t>. En</w:t>
      </w:r>
      <w:r w:rsidR="0062735B">
        <w:rPr>
          <w:lang w:val="fr-CA"/>
        </w:rPr>
        <w:t>fin, la confusion entretenue entre régulation des naissances et limitation des naissances incite à une grande</w:t>
      </w:r>
      <w:r w:rsidRPr="00EC2E68">
        <w:rPr>
          <w:lang w:val="fr-CA"/>
        </w:rPr>
        <w:t xml:space="preserve"> réticence de certaines femmes</w:t>
      </w:r>
      <w:r w:rsidR="0062735B">
        <w:rPr>
          <w:lang w:val="fr-CA"/>
        </w:rPr>
        <w:t xml:space="preserve"> et</w:t>
      </w:r>
      <w:r w:rsidR="00BB2EBC">
        <w:rPr>
          <w:lang w:val="fr-CA"/>
        </w:rPr>
        <w:t xml:space="preserve"> de</w:t>
      </w:r>
      <w:r w:rsidR="0062735B">
        <w:rPr>
          <w:lang w:val="fr-CA"/>
        </w:rPr>
        <w:t xml:space="preserve"> certaines sociétés</w:t>
      </w:r>
      <w:r w:rsidRPr="00EC2E68">
        <w:rPr>
          <w:lang w:val="fr-CA"/>
        </w:rPr>
        <w:t>.</w:t>
      </w:r>
    </w:p>
    <w:p w:rsidR="00547AC0" w:rsidRDefault="00547AC0" w:rsidP="007B3553">
      <w:pPr>
        <w:spacing w:before="120" w:line="276" w:lineRule="auto"/>
        <w:jc w:val="both"/>
      </w:pPr>
      <w:r w:rsidRPr="00EC2E68">
        <w:t xml:space="preserve">Selon les estimations de la </w:t>
      </w:r>
      <w:r w:rsidR="000600C8">
        <w:t>D</w:t>
      </w:r>
      <w:r w:rsidR="000600C8" w:rsidRPr="00EC2E68">
        <w:t xml:space="preserve">ivision </w:t>
      </w:r>
      <w:r w:rsidRPr="00EC2E68">
        <w:t xml:space="preserve">de la </w:t>
      </w:r>
      <w:r w:rsidR="000600C8">
        <w:t>P</w:t>
      </w:r>
      <w:r w:rsidR="000600C8" w:rsidRPr="00EC2E68">
        <w:t xml:space="preserve">opulation </w:t>
      </w:r>
      <w:r w:rsidRPr="00EC2E68">
        <w:t>de</w:t>
      </w:r>
      <w:r w:rsidR="000600C8">
        <w:t>s</w:t>
      </w:r>
      <w:r w:rsidRPr="00EC2E68">
        <w:t xml:space="preserve"> Nations</w:t>
      </w:r>
      <w:r w:rsidR="00083780">
        <w:t xml:space="preserve"> Unies</w:t>
      </w:r>
      <w:r w:rsidRPr="00EC2E68">
        <w:t xml:space="preserve">, le taux de prévalence contraceptive moderne au Cameroun est passé de 0,3% en 1970 à </w:t>
      </w:r>
      <w:r w:rsidR="004D6145" w:rsidRPr="00EC2E68">
        <w:t>1</w:t>
      </w:r>
      <w:r w:rsidR="004D6145">
        <w:t>6</w:t>
      </w:r>
      <w:r w:rsidRPr="00EC2E68">
        <w:t xml:space="preserve">% en 2010(INS et ICF International, 2011), soit une augmentation </w:t>
      </w:r>
      <w:r w:rsidR="000600C8">
        <w:t xml:space="preserve">moyenne </w:t>
      </w:r>
      <w:r w:rsidRPr="00EC2E68">
        <w:t xml:space="preserve">d’environ 0,3 point par an en 40 ans. En se basant sur cette tendance d’évolution de la prévalence contraceptive moderne, on suppose </w:t>
      </w:r>
      <w:r w:rsidR="002125C3" w:rsidRPr="00EC2E68">
        <w:t>qu</w:t>
      </w:r>
      <w:r w:rsidR="002125C3">
        <w:t>’au cours</w:t>
      </w:r>
      <w:r w:rsidR="002B6037">
        <w:t xml:space="preserve"> </w:t>
      </w:r>
      <w:r w:rsidR="002125C3">
        <w:t>d</w:t>
      </w:r>
      <w:r w:rsidR="002125C3" w:rsidRPr="00EC2E68">
        <w:t xml:space="preserve">es </w:t>
      </w:r>
      <w:r w:rsidRPr="00EC2E68">
        <w:t>40 ans à venir</w:t>
      </w:r>
      <w:r w:rsidR="007D6AAD">
        <w:t>,</w:t>
      </w:r>
      <w:r w:rsidRPr="00EC2E68">
        <w:t xml:space="preserve"> la prévalence contraceptive moderne varierait de </w:t>
      </w:r>
      <w:r w:rsidR="004D6145" w:rsidRPr="00EC2E68">
        <w:t>1</w:t>
      </w:r>
      <w:r w:rsidR="004D6145">
        <w:t>6</w:t>
      </w:r>
      <w:r w:rsidRPr="00EC2E68">
        <w:t xml:space="preserve">% en 2010 à </w:t>
      </w:r>
      <w:r>
        <w:t>45,7% en 2050</w:t>
      </w:r>
      <w:r w:rsidR="004A7B45">
        <w:rPr>
          <w:rStyle w:val="Appelnotedebasdep"/>
        </w:rPr>
        <w:footnoteReference w:id="12"/>
      </w:r>
      <w:r>
        <w:t>.Cette évolution repose</w:t>
      </w:r>
      <w:r w:rsidR="007D6AAD">
        <w:t>rait</w:t>
      </w:r>
      <w:r>
        <w:t xml:space="preserve"> sur les hypothèses ci-après</w:t>
      </w:r>
      <w:r w:rsidR="004D6145">
        <w:t> </w:t>
      </w:r>
      <w:r>
        <w:t xml:space="preserve">: (1) </w:t>
      </w:r>
      <w:r w:rsidRPr="00EC2E68">
        <w:t>une efficacité contraceptive de 95% pour les méthodes modernes et 50% pour les méthodes traditionnelles</w:t>
      </w:r>
      <w:r w:rsidR="004D6145">
        <w:t> </w:t>
      </w:r>
      <w:r>
        <w:t>; (2)</w:t>
      </w:r>
      <w:r w:rsidRPr="00EC2E68">
        <w:t xml:space="preserve"> une </w:t>
      </w:r>
      <w:r>
        <w:t xml:space="preserve">réduction sensible des besoins </w:t>
      </w:r>
      <w:r w:rsidR="007D6AAD">
        <w:t xml:space="preserve">non </w:t>
      </w:r>
      <w:r>
        <w:t>satisfa</w:t>
      </w:r>
      <w:r w:rsidR="007B3553">
        <w:t xml:space="preserve">its et (3) une croissance </w:t>
      </w:r>
      <w:r w:rsidR="005F4680">
        <w:t xml:space="preserve">plus accélérée </w:t>
      </w:r>
      <w:r w:rsidR="007B3553">
        <w:t xml:space="preserve">de la pratique contraceptive moderne, avec la mise en </w:t>
      </w:r>
      <w:r w:rsidR="007D6AAD">
        <w:t xml:space="preserve">œuvre </w:t>
      </w:r>
      <w:r w:rsidR="003F585D">
        <w:t xml:space="preserve">de la </w:t>
      </w:r>
      <w:r w:rsidR="007B3553">
        <w:t xml:space="preserve">stratégie </w:t>
      </w:r>
      <w:r w:rsidR="005F4680">
        <w:t>de réduction de la mortalité maternelle, néonatale et infanto-juvénile (2014-2020</w:t>
      </w:r>
      <w:r w:rsidR="007B3553">
        <w:t>)</w:t>
      </w:r>
      <w:r w:rsidR="003F585D">
        <w:t>.</w:t>
      </w:r>
    </w:p>
    <w:p w:rsidR="00D43463" w:rsidRDefault="005F4680" w:rsidP="007B3553">
      <w:pPr>
        <w:spacing w:before="120" w:line="276" w:lineRule="auto"/>
        <w:jc w:val="both"/>
        <w:rPr>
          <w:bCs/>
        </w:rPr>
      </w:pPr>
      <w:r w:rsidRPr="005F4680">
        <w:rPr>
          <w:bCs/>
        </w:rPr>
        <w:t xml:space="preserve">En effet, au Cameroun, la planification familiale figure parmi les quatre piliers de lutte contre la mortalité maternelle. À cet effet, le Ministère de la </w:t>
      </w:r>
      <w:r w:rsidR="00083780">
        <w:rPr>
          <w:bCs/>
        </w:rPr>
        <w:t>S</w:t>
      </w:r>
      <w:r w:rsidRPr="005F4680">
        <w:rPr>
          <w:bCs/>
        </w:rPr>
        <w:t xml:space="preserve">anté </w:t>
      </w:r>
      <w:r w:rsidR="00083780">
        <w:rPr>
          <w:bCs/>
        </w:rPr>
        <w:t>P</w:t>
      </w:r>
      <w:r w:rsidRPr="005F4680">
        <w:rPr>
          <w:bCs/>
        </w:rPr>
        <w:t xml:space="preserve">ublique a élaboré le plan stratégique de réduction de la mortalité maternelle, néonatale et infanto-juvénile 2014-2020 décliné dans le plan opérationnel PF 2015-2020, dont l’objectif est d’atteindre un taux de prévalence moderne de 30% </w:t>
      </w:r>
      <w:r w:rsidR="007D6AAD">
        <w:rPr>
          <w:bCs/>
        </w:rPr>
        <w:t xml:space="preserve">de 2015 à </w:t>
      </w:r>
      <w:r w:rsidR="007D6AAD" w:rsidRPr="005F4680">
        <w:rPr>
          <w:bCs/>
        </w:rPr>
        <w:t>202</w:t>
      </w:r>
      <w:r w:rsidR="007D6AAD">
        <w:rPr>
          <w:bCs/>
        </w:rPr>
        <w:t>0</w:t>
      </w:r>
      <w:r w:rsidRPr="005F4680">
        <w:rPr>
          <w:bCs/>
        </w:rPr>
        <w:t xml:space="preserve">. </w:t>
      </w:r>
      <w:r w:rsidR="007D6AAD">
        <w:rPr>
          <w:bCs/>
        </w:rPr>
        <w:t>Ce taux</w:t>
      </w:r>
      <w:r w:rsidR="002B6037">
        <w:rPr>
          <w:bCs/>
        </w:rPr>
        <w:t xml:space="preserve"> </w:t>
      </w:r>
      <w:r w:rsidR="006D1ABB" w:rsidRPr="00633E85">
        <w:rPr>
          <w:bCs/>
        </w:rPr>
        <w:t>apparait désormais comme la cible du Gouvernement</w:t>
      </w:r>
      <w:r w:rsidR="003F585D">
        <w:rPr>
          <w:bCs/>
        </w:rPr>
        <w:t>,</w:t>
      </w:r>
      <w:r w:rsidR="006D1ABB" w:rsidRPr="00633E85">
        <w:rPr>
          <w:bCs/>
        </w:rPr>
        <w:t xml:space="preserve"> afin d’atteindre l’ambition d’inverser la tendance croissante de la mortalité maternelle. </w:t>
      </w:r>
      <w:r w:rsidR="003F585D" w:rsidRPr="005F4680">
        <w:rPr>
          <w:bCs/>
        </w:rPr>
        <w:t xml:space="preserve">Cette vision est reprise dans la stratégie sectorielle de la santé 2016-2027 et le Plan </w:t>
      </w:r>
      <w:r w:rsidR="003F585D">
        <w:rPr>
          <w:bCs/>
        </w:rPr>
        <w:t>N</w:t>
      </w:r>
      <w:r w:rsidR="003F585D" w:rsidRPr="005F4680">
        <w:rPr>
          <w:bCs/>
        </w:rPr>
        <w:t xml:space="preserve">ational de </w:t>
      </w:r>
      <w:r w:rsidR="003F585D">
        <w:rPr>
          <w:bCs/>
        </w:rPr>
        <w:t>D</w:t>
      </w:r>
      <w:r w:rsidR="003F585D" w:rsidRPr="005F4680">
        <w:rPr>
          <w:bCs/>
        </w:rPr>
        <w:t xml:space="preserve">éveloppement </w:t>
      </w:r>
      <w:r w:rsidR="003F585D">
        <w:rPr>
          <w:bCs/>
        </w:rPr>
        <w:t>S</w:t>
      </w:r>
      <w:r w:rsidR="003F585D" w:rsidRPr="005F4680">
        <w:rPr>
          <w:bCs/>
        </w:rPr>
        <w:t>anitaire 2017-2020.</w:t>
      </w:r>
      <w:r w:rsidR="006D1ABB" w:rsidRPr="00633E85">
        <w:rPr>
          <w:bCs/>
        </w:rPr>
        <w:t>Le programme multisectoriel de lutte contre la mortalité maternelle et infanto-juvénile s’en est approprié. Des partenaires se sont engagés aux côtés du Gouvernement pour cette cause. Notamment, l’UNFPA s’est engagé à garantir la disponibilité des produits contraceptifs jusqu’en 2020. Le projet d’appui à la santé de la reproduction (PASAR) de la GIZ intervient dans la stimulation de la demande, le renforcement de l’offre et le suivi-évaluation</w:t>
      </w:r>
      <w:r w:rsidR="002B6037">
        <w:rPr>
          <w:bCs/>
        </w:rPr>
        <w:t xml:space="preserve"> </w:t>
      </w:r>
      <w:r w:rsidR="007D6AAD" w:rsidRPr="00633E85">
        <w:rPr>
          <w:bCs/>
        </w:rPr>
        <w:t xml:space="preserve">dans </w:t>
      </w:r>
      <w:r w:rsidR="007D6AAD">
        <w:rPr>
          <w:bCs/>
        </w:rPr>
        <w:t xml:space="preserve">les régions de </w:t>
      </w:r>
      <w:r w:rsidR="007D6AAD" w:rsidRPr="00633E85">
        <w:rPr>
          <w:bCs/>
        </w:rPr>
        <w:t xml:space="preserve">l’Adamaoua, </w:t>
      </w:r>
      <w:r w:rsidR="007D6AAD">
        <w:rPr>
          <w:bCs/>
        </w:rPr>
        <w:t xml:space="preserve">de </w:t>
      </w:r>
      <w:r w:rsidR="007D6AAD" w:rsidRPr="00633E85">
        <w:rPr>
          <w:bCs/>
        </w:rPr>
        <w:t xml:space="preserve">l’Extrême-Nord, </w:t>
      </w:r>
      <w:r w:rsidR="007D6AAD">
        <w:rPr>
          <w:bCs/>
        </w:rPr>
        <w:t>du</w:t>
      </w:r>
      <w:r w:rsidR="007D6AAD" w:rsidRPr="00633E85">
        <w:rPr>
          <w:bCs/>
        </w:rPr>
        <w:t xml:space="preserve"> Nord et </w:t>
      </w:r>
      <w:r w:rsidR="007D6AAD">
        <w:rPr>
          <w:bCs/>
        </w:rPr>
        <w:t xml:space="preserve">de </w:t>
      </w:r>
      <w:r w:rsidR="007D6AAD" w:rsidRPr="00633E85">
        <w:rPr>
          <w:bCs/>
        </w:rPr>
        <w:t>l’Est</w:t>
      </w:r>
      <w:r w:rsidR="006D1ABB" w:rsidRPr="00633E85">
        <w:rPr>
          <w:bCs/>
        </w:rPr>
        <w:t>. La KFW</w:t>
      </w:r>
      <w:r w:rsidR="003F585D">
        <w:rPr>
          <w:bCs/>
        </w:rPr>
        <w:t>,</w:t>
      </w:r>
      <w:r w:rsidR="002B6037">
        <w:rPr>
          <w:bCs/>
        </w:rPr>
        <w:t xml:space="preserve"> </w:t>
      </w:r>
      <w:r w:rsidR="007D6AAD">
        <w:rPr>
          <w:bCs/>
        </w:rPr>
        <w:t>à travers</w:t>
      </w:r>
      <w:r w:rsidR="002B6037">
        <w:rPr>
          <w:bCs/>
        </w:rPr>
        <w:t xml:space="preserve"> </w:t>
      </w:r>
      <w:r w:rsidR="006D1ABB" w:rsidRPr="00633E85">
        <w:rPr>
          <w:bCs/>
        </w:rPr>
        <w:t>l’Association camerounaise pour le marketing social (ACMS)</w:t>
      </w:r>
      <w:r w:rsidR="003F585D">
        <w:rPr>
          <w:bCs/>
        </w:rPr>
        <w:t>,</w:t>
      </w:r>
      <w:r w:rsidR="006D1ABB" w:rsidRPr="00633E85">
        <w:rPr>
          <w:bCs/>
        </w:rPr>
        <w:t xml:space="preserve"> assure la promotion de la planification familiale dans ces 4 régions où les besoins non satisfaits sont les plus élevés et les taux de prévalence contraceptive moderne les plus faibles du pays. Le Ministère de la </w:t>
      </w:r>
      <w:r w:rsidR="007D6AAD">
        <w:rPr>
          <w:bCs/>
        </w:rPr>
        <w:t>S</w:t>
      </w:r>
      <w:r w:rsidR="006D1ABB" w:rsidRPr="00633E85">
        <w:rPr>
          <w:bCs/>
        </w:rPr>
        <w:t xml:space="preserve">anté </w:t>
      </w:r>
      <w:r w:rsidR="007D6AAD">
        <w:rPr>
          <w:bCs/>
        </w:rPr>
        <w:t>P</w:t>
      </w:r>
      <w:r w:rsidR="006D1ABB" w:rsidRPr="00633E85">
        <w:rPr>
          <w:bCs/>
        </w:rPr>
        <w:t>ublique fournit des ressources pour la formation, la supervision et l’acquisition des produits contraceptifs sur toute l’étendue du territoire national.</w:t>
      </w:r>
    </w:p>
    <w:p w:rsidR="00D43463" w:rsidRPr="00D43463" w:rsidRDefault="00D43463" w:rsidP="007B3553">
      <w:pPr>
        <w:spacing w:before="120" w:line="276" w:lineRule="auto"/>
        <w:jc w:val="both"/>
        <w:rPr>
          <w:bCs/>
        </w:rPr>
      </w:pPr>
    </w:p>
    <w:p w:rsidR="008D383D" w:rsidRPr="00376291" w:rsidRDefault="005F4680" w:rsidP="00376291">
      <w:pPr>
        <w:pStyle w:val="Paragraphedeliste"/>
        <w:numPr>
          <w:ilvl w:val="1"/>
          <w:numId w:val="141"/>
        </w:numPr>
        <w:spacing w:before="120" w:line="276" w:lineRule="auto"/>
        <w:jc w:val="both"/>
        <w:outlineLvl w:val="1"/>
        <w:rPr>
          <w:b/>
          <w:bCs/>
        </w:rPr>
      </w:pPr>
      <w:bookmarkStart w:id="38" w:name="_Toc479009922"/>
      <w:r w:rsidRPr="00376291">
        <w:rPr>
          <w:b/>
          <w:bCs/>
        </w:rPr>
        <w:lastRenderedPageBreak/>
        <w:t>Gouvernance</w:t>
      </w:r>
      <w:bookmarkEnd w:id="38"/>
    </w:p>
    <w:p w:rsidR="009C08FE" w:rsidRPr="005643FE" w:rsidRDefault="009C08FE" w:rsidP="003F585D">
      <w:pPr>
        <w:spacing w:before="240" w:line="276" w:lineRule="auto"/>
        <w:jc w:val="both"/>
      </w:pPr>
      <w:bookmarkStart w:id="39" w:name="_Toc477184267"/>
      <w:r w:rsidRPr="005643FE">
        <w:t xml:space="preserve">Dans beaucoup de pays ayant </w:t>
      </w:r>
      <w:r w:rsidR="001C64EC" w:rsidRPr="005643FE">
        <w:t xml:space="preserve">bénéficié </w:t>
      </w:r>
      <w:r w:rsidRPr="005643FE">
        <w:t xml:space="preserve">du dividende démographique, l'arrimage à la bonne gouvernance a été </w:t>
      </w:r>
      <w:r w:rsidR="007D6AAD" w:rsidRPr="005643FE">
        <w:t>l’</w:t>
      </w:r>
      <w:r w:rsidRPr="005643FE">
        <w:t>un des piliers incontournables. Des étapes ont ainsi été nécessaires pour réaliser le « bonus démographique » et le transformer en dividende démographique</w:t>
      </w:r>
      <w:r w:rsidR="00733D0B" w:rsidRPr="005643FE">
        <w:t> </w:t>
      </w:r>
      <w:r w:rsidRPr="005643FE">
        <w:t>: promotion d’un État de droit, amélioration de l’efficacité gouvernementale, diminution de la corruption et application du respect des garanties contractuelles.</w:t>
      </w:r>
      <w:bookmarkEnd w:id="39"/>
    </w:p>
    <w:p w:rsidR="009C08FE" w:rsidRPr="005643FE" w:rsidRDefault="009C08FE" w:rsidP="003F585D">
      <w:pPr>
        <w:spacing w:before="240" w:line="276" w:lineRule="auto"/>
        <w:jc w:val="both"/>
      </w:pPr>
      <w:bookmarkStart w:id="40" w:name="_Toc477184268"/>
      <w:r w:rsidRPr="005643FE">
        <w:t>En matière de gouvernance</w:t>
      </w:r>
      <w:r w:rsidR="00471E77" w:rsidRPr="005643FE">
        <w:t xml:space="preserve"> et de l'État de droit</w:t>
      </w:r>
      <w:r w:rsidRPr="005643FE">
        <w:t xml:space="preserve">, le DSCE du Cameroun </w:t>
      </w:r>
      <w:r w:rsidR="00471E77" w:rsidRPr="005643FE">
        <w:t>poursuit d</w:t>
      </w:r>
      <w:r w:rsidR="008D383D" w:rsidRPr="005643FE">
        <w:t>eux objectifs majeurs</w:t>
      </w:r>
      <w:r w:rsidR="00733D0B" w:rsidRPr="005643FE">
        <w:t> </w:t>
      </w:r>
      <w:r w:rsidR="008D383D" w:rsidRPr="005643FE">
        <w:t>: (i) garantir à tous un meilleur respect des droits individuels et des libertés publiques et (ii) renforcer la gestion des affaires publiques. Pour atteindre les objectifs sus évoqués, les autorités comptent articuler leurs interventions autour des quatre axes</w:t>
      </w:r>
      <w:r w:rsidR="00733D0B" w:rsidRPr="005643FE">
        <w:t> </w:t>
      </w:r>
      <w:r w:rsidR="00471E77" w:rsidRPr="005643FE">
        <w:t xml:space="preserve">: </w:t>
      </w:r>
      <w:r w:rsidR="008D383D" w:rsidRPr="005643FE">
        <w:t>a) le renforcement de l'État de droit et de la sécurité des personnes et des biens</w:t>
      </w:r>
      <w:r w:rsidR="00733D0B" w:rsidRPr="005643FE">
        <w:t> </w:t>
      </w:r>
      <w:r w:rsidR="008D383D" w:rsidRPr="005643FE">
        <w:t>; b) l'amélioration de l'environnement des affaires</w:t>
      </w:r>
      <w:r w:rsidR="00733D0B" w:rsidRPr="005643FE">
        <w:t> </w:t>
      </w:r>
      <w:r w:rsidR="008D383D" w:rsidRPr="005643FE">
        <w:t>; c) le renforcement de la lutte contre la corruption et les détournements de fonds</w:t>
      </w:r>
      <w:r w:rsidR="008A2500" w:rsidRPr="005643FE">
        <w:t> </w:t>
      </w:r>
      <w:proofErr w:type="gramStart"/>
      <w:r w:rsidR="008A2500" w:rsidRPr="005643FE">
        <w:t>;</w:t>
      </w:r>
      <w:r w:rsidR="00471E77" w:rsidRPr="005643FE">
        <w:t>et</w:t>
      </w:r>
      <w:proofErr w:type="gramEnd"/>
      <w:r w:rsidR="008D383D" w:rsidRPr="005643FE">
        <w:t xml:space="preserve"> d) l'amélioration de l'information et du contrôle citoyen de la gestion des affaires publiques.</w:t>
      </w:r>
      <w:bookmarkEnd w:id="40"/>
    </w:p>
    <w:p w:rsidR="005F4680" w:rsidRPr="009F3A0E" w:rsidRDefault="00F17946" w:rsidP="00376291">
      <w:pPr>
        <w:pStyle w:val="Paragraphedeliste"/>
        <w:numPr>
          <w:ilvl w:val="1"/>
          <w:numId w:val="141"/>
        </w:numPr>
        <w:spacing w:before="120" w:line="276" w:lineRule="auto"/>
        <w:jc w:val="both"/>
        <w:outlineLvl w:val="1"/>
        <w:rPr>
          <w:b/>
          <w:bCs/>
        </w:rPr>
      </w:pPr>
      <w:bookmarkStart w:id="41" w:name="_Toc479009923"/>
      <w:r w:rsidRPr="009F3A0E">
        <w:rPr>
          <w:b/>
          <w:bCs/>
        </w:rPr>
        <w:t>Hypothèses sur les variables de contrôle des sous-modèles</w:t>
      </w:r>
      <w:bookmarkEnd w:id="41"/>
    </w:p>
    <w:p w:rsidR="00CC6CB6" w:rsidRDefault="00CC6CB6" w:rsidP="00CC6CB6">
      <w:pPr>
        <w:spacing w:before="120" w:line="276" w:lineRule="auto"/>
        <w:jc w:val="both"/>
        <w:rPr>
          <w:bCs/>
        </w:rPr>
      </w:pPr>
      <w:r>
        <w:rPr>
          <w:bCs/>
        </w:rPr>
        <w:t>Les variables de contrôle sont en fait les déterminants des changements escomptés</w:t>
      </w:r>
      <w:r w:rsidR="009C0133">
        <w:rPr>
          <w:bCs/>
        </w:rPr>
        <w:t xml:space="preserve"> de par leurs effets sur les variables de base du modèle (voir </w:t>
      </w:r>
      <w:r w:rsidR="00A918C7" w:rsidRPr="005507B9">
        <w:rPr>
          <w:bCs/>
        </w:rPr>
        <w:t xml:space="preserve">figures 1 </w:t>
      </w:r>
      <w:r w:rsidR="008A2500" w:rsidRPr="005507B9">
        <w:rPr>
          <w:bCs/>
        </w:rPr>
        <w:t xml:space="preserve">et </w:t>
      </w:r>
      <w:r w:rsidR="00A918C7" w:rsidRPr="005507B9">
        <w:rPr>
          <w:bCs/>
        </w:rPr>
        <w:t>2</w:t>
      </w:r>
      <w:r w:rsidR="009C0133">
        <w:rPr>
          <w:bCs/>
        </w:rPr>
        <w:t xml:space="preserve">). Les hypothèses qui suivent portent sur les valeurs de base </w:t>
      </w:r>
      <w:r w:rsidR="007D6AAD">
        <w:rPr>
          <w:bCs/>
        </w:rPr>
        <w:t>des</w:t>
      </w:r>
      <w:r w:rsidR="00D57E64">
        <w:rPr>
          <w:bCs/>
        </w:rPr>
        <w:t xml:space="preserve"> indicateurs et les valeurs cibles projetées</w:t>
      </w:r>
      <w:r w:rsidR="007D6AAD">
        <w:rPr>
          <w:bCs/>
        </w:rPr>
        <w:t>.</w:t>
      </w:r>
      <w:r w:rsidR="002B6037">
        <w:rPr>
          <w:bCs/>
        </w:rPr>
        <w:t xml:space="preserve"> </w:t>
      </w:r>
      <w:r w:rsidR="007D6AAD">
        <w:rPr>
          <w:bCs/>
        </w:rPr>
        <w:t xml:space="preserve">Elles </w:t>
      </w:r>
      <w:r w:rsidR="00D57E64">
        <w:rPr>
          <w:bCs/>
        </w:rPr>
        <w:t xml:space="preserve">se fondent </w:t>
      </w:r>
      <w:r w:rsidR="00403F48">
        <w:rPr>
          <w:bCs/>
        </w:rPr>
        <w:t xml:space="preserve">par ailleurs </w:t>
      </w:r>
      <w:r w:rsidR="00D57E64">
        <w:rPr>
          <w:bCs/>
        </w:rPr>
        <w:t>sur les analyses de situation précédentes.</w:t>
      </w:r>
    </w:p>
    <w:p w:rsidR="00D57E64" w:rsidRPr="00376291" w:rsidRDefault="00191178" w:rsidP="00376291">
      <w:pPr>
        <w:pStyle w:val="Paragraphedeliste"/>
        <w:numPr>
          <w:ilvl w:val="3"/>
          <w:numId w:val="141"/>
        </w:numPr>
        <w:spacing w:before="120" w:line="276" w:lineRule="auto"/>
        <w:jc w:val="both"/>
        <w:rPr>
          <w:bCs/>
          <w:u w:val="single"/>
        </w:rPr>
      </w:pPr>
      <w:r w:rsidRPr="00376291">
        <w:rPr>
          <w:bCs/>
          <w:u w:val="single"/>
        </w:rPr>
        <w:t>Sous-modèle démographique</w:t>
      </w:r>
    </w:p>
    <w:p w:rsidR="00CC6CB6" w:rsidRPr="00243DEB" w:rsidRDefault="004A7B45" w:rsidP="00031E04">
      <w:pPr>
        <w:pStyle w:val="Paragraphedeliste"/>
        <w:numPr>
          <w:ilvl w:val="0"/>
          <w:numId w:val="97"/>
        </w:numPr>
        <w:spacing w:before="120" w:line="276" w:lineRule="auto"/>
        <w:jc w:val="both"/>
        <w:rPr>
          <w:bCs/>
          <w:i/>
        </w:rPr>
      </w:pPr>
      <w:r w:rsidRPr="00243DEB">
        <w:rPr>
          <w:bCs/>
          <w:i/>
        </w:rPr>
        <w:t>En matière d</w:t>
      </w:r>
      <w:r w:rsidR="00CC6CB6" w:rsidRPr="00243DEB">
        <w:rPr>
          <w:bCs/>
          <w:i/>
        </w:rPr>
        <w:t>’éducation</w:t>
      </w:r>
    </w:p>
    <w:p w:rsidR="00CC6CB6" w:rsidRPr="00B10970" w:rsidRDefault="00B10970" w:rsidP="00B10970">
      <w:pPr>
        <w:spacing w:before="120" w:line="276" w:lineRule="auto"/>
        <w:ind w:left="1418" w:hanging="1418"/>
        <w:jc w:val="both"/>
        <w:rPr>
          <w:sz w:val="22"/>
          <w:szCs w:val="22"/>
        </w:rPr>
      </w:pPr>
      <w:r w:rsidRPr="00B10970">
        <w:rPr>
          <w:sz w:val="22"/>
          <w:szCs w:val="22"/>
        </w:rPr>
        <w:t>Hypothèse 1</w:t>
      </w:r>
      <w:r w:rsidR="00733D0B">
        <w:rPr>
          <w:sz w:val="22"/>
          <w:szCs w:val="22"/>
        </w:rPr>
        <w:t> </w:t>
      </w:r>
      <w:r w:rsidRPr="00B10970">
        <w:rPr>
          <w:sz w:val="22"/>
          <w:szCs w:val="22"/>
        </w:rPr>
        <w:t xml:space="preserve">: </w:t>
      </w:r>
      <w:r w:rsidRPr="00B10970">
        <w:rPr>
          <w:sz w:val="22"/>
          <w:szCs w:val="22"/>
        </w:rPr>
        <w:tab/>
      </w:r>
      <w:r w:rsidR="00CC6CB6" w:rsidRPr="00B10970">
        <w:rPr>
          <w:sz w:val="22"/>
          <w:szCs w:val="22"/>
        </w:rPr>
        <w:t>Le nombre d’années scolaires attendu pour les filles se situe à 9,5 ans en 2010</w:t>
      </w:r>
      <w:r w:rsidRPr="00B10970">
        <w:rPr>
          <w:sz w:val="22"/>
          <w:szCs w:val="22"/>
        </w:rPr>
        <w:t xml:space="preserve"> (UNESCO, 2010)</w:t>
      </w:r>
      <w:r w:rsidR="00CC6CB6" w:rsidRPr="00B10970">
        <w:rPr>
          <w:sz w:val="22"/>
          <w:szCs w:val="22"/>
        </w:rPr>
        <w:t>. On fait l’hypothèse qu’il passerait à 13 ans en 2050.</w:t>
      </w:r>
    </w:p>
    <w:p w:rsidR="00CC6CB6" w:rsidRPr="00B10970" w:rsidRDefault="00B10970" w:rsidP="00D01C92">
      <w:pPr>
        <w:spacing w:before="60" w:line="276" w:lineRule="auto"/>
        <w:ind w:left="1418" w:hanging="1418"/>
        <w:jc w:val="both"/>
        <w:rPr>
          <w:sz w:val="22"/>
          <w:szCs w:val="22"/>
        </w:rPr>
      </w:pPr>
      <w:r w:rsidRPr="00B10970">
        <w:rPr>
          <w:sz w:val="22"/>
          <w:szCs w:val="22"/>
        </w:rPr>
        <w:t>Hypothèse 2</w:t>
      </w:r>
      <w:r w:rsidR="00733D0B">
        <w:rPr>
          <w:sz w:val="22"/>
          <w:szCs w:val="22"/>
        </w:rPr>
        <w:t> </w:t>
      </w:r>
      <w:r w:rsidRPr="00B10970">
        <w:rPr>
          <w:sz w:val="22"/>
          <w:szCs w:val="22"/>
        </w:rPr>
        <w:t xml:space="preserve">: </w:t>
      </w:r>
      <w:r w:rsidRPr="00B10970">
        <w:rPr>
          <w:sz w:val="22"/>
          <w:szCs w:val="22"/>
        </w:rPr>
        <w:tab/>
      </w:r>
      <w:r w:rsidR="00CC6CB6" w:rsidRPr="00B10970">
        <w:rPr>
          <w:sz w:val="22"/>
          <w:szCs w:val="22"/>
        </w:rPr>
        <w:t>Le nombre d’années scolaires attendu pour les garçons se situe à 11,40 ans en 2010</w:t>
      </w:r>
      <w:r w:rsidRPr="00B10970">
        <w:rPr>
          <w:sz w:val="22"/>
          <w:szCs w:val="22"/>
        </w:rPr>
        <w:t xml:space="preserve"> (UNESCO, 2010)</w:t>
      </w:r>
      <w:r w:rsidR="00CC6CB6" w:rsidRPr="00B10970">
        <w:rPr>
          <w:sz w:val="22"/>
          <w:szCs w:val="22"/>
        </w:rPr>
        <w:t xml:space="preserve">. </w:t>
      </w:r>
      <w:r w:rsidRPr="00B10970">
        <w:rPr>
          <w:sz w:val="22"/>
          <w:szCs w:val="22"/>
        </w:rPr>
        <w:t>Il</w:t>
      </w:r>
      <w:r w:rsidR="00CC6CB6" w:rsidRPr="00B10970">
        <w:rPr>
          <w:sz w:val="22"/>
          <w:szCs w:val="22"/>
        </w:rPr>
        <w:t xml:space="preserve"> atteindrait 16 ans en 2050, soit une augmentation du nombre d’années scolaires attendu de 0,11 point chaque année.</w:t>
      </w:r>
    </w:p>
    <w:p w:rsidR="00CC6CB6" w:rsidRPr="00B10970" w:rsidRDefault="00B10970" w:rsidP="00D01C92">
      <w:pPr>
        <w:spacing w:before="60" w:line="276" w:lineRule="auto"/>
        <w:ind w:left="1418" w:hanging="1418"/>
        <w:jc w:val="both"/>
        <w:rPr>
          <w:sz w:val="22"/>
          <w:szCs w:val="22"/>
        </w:rPr>
      </w:pPr>
      <w:r w:rsidRPr="00B10970">
        <w:rPr>
          <w:sz w:val="22"/>
          <w:szCs w:val="22"/>
        </w:rPr>
        <w:t>Hypothèse 3</w:t>
      </w:r>
      <w:r w:rsidR="00733D0B">
        <w:rPr>
          <w:sz w:val="22"/>
          <w:szCs w:val="22"/>
        </w:rPr>
        <w:t> </w:t>
      </w:r>
      <w:r w:rsidRPr="00B10970">
        <w:rPr>
          <w:sz w:val="22"/>
          <w:szCs w:val="22"/>
        </w:rPr>
        <w:t>:</w:t>
      </w:r>
      <w:r w:rsidR="00A77994">
        <w:rPr>
          <w:sz w:val="22"/>
          <w:szCs w:val="22"/>
        </w:rPr>
        <w:tab/>
      </w:r>
      <w:r w:rsidR="00CC6CB6" w:rsidRPr="00B10970">
        <w:rPr>
          <w:sz w:val="22"/>
          <w:szCs w:val="22"/>
        </w:rPr>
        <w:t xml:space="preserve">Le nombre moyen d’années passées dans le système éducatif pour les femmes varierait de 5,27 ans en 2010 </w:t>
      </w:r>
      <w:r w:rsidRPr="00B10970">
        <w:rPr>
          <w:sz w:val="22"/>
          <w:szCs w:val="22"/>
        </w:rPr>
        <w:t xml:space="preserve">(UNESCO, 2010) </w:t>
      </w:r>
      <w:r w:rsidR="00CC6CB6" w:rsidRPr="00B10970">
        <w:rPr>
          <w:sz w:val="22"/>
          <w:szCs w:val="22"/>
        </w:rPr>
        <w:t>à 10 ans en 2050.</w:t>
      </w:r>
    </w:p>
    <w:p w:rsidR="00CC6CB6" w:rsidRPr="00EC2E68" w:rsidRDefault="00B10970" w:rsidP="00D01C92">
      <w:pPr>
        <w:spacing w:before="60" w:line="276" w:lineRule="auto"/>
        <w:ind w:left="1418" w:hanging="1418"/>
        <w:jc w:val="both"/>
      </w:pPr>
      <w:r w:rsidRPr="00B10970">
        <w:rPr>
          <w:sz w:val="22"/>
          <w:szCs w:val="22"/>
        </w:rPr>
        <w:t>Hypothèse 4</w:t>
      </w:r>
      <w:r w:rsidR="00733D0B">
        <w:rPr>
          <w:sz w:val="22"/>
          <w:szCs w:val="22"/>
        </w:rPr>
        <w:t> </w:t>
      </w:r>
      <w:r w:rsidRPr="00B10970">
        <w:rPr>
          <w:sz w:val="22"/>
          <w:szCs w:val="22"/>
        </w:rPr>
        <w:t xml:space="preserve">: </w:t>
      </w:r>
      <w:r w:rsidRPr="00B10970">
        <w:rPr>
          <w:sz w:val="22"/>
          <w:szCs w:val="22"/>
        </w:rPr>
        <w:tab/>
      </w:r>
      <w:r w:rsidR="00CC6CB6" w:rsidRPr="00B10970">
        <w:rPr>
          <w:sz w:val="22"/>
          <w:szCs w:val="22"/>
        </w:rPr>
        <w:t>Pour les hommes, le nombre moyen d’années passées dans le système éducatif passerait de 6,68 ans en 2010</w:t>
      </w:r>
      <w:r w:rsidRPr="00B10970">
        <w:rPr>
          <w:sz w:val="22"/>
          <w:szCs w:val="22"/>
        </w:rPr>
        <w:t xml:space="preserve"> (UNESCO, 2010)</w:t>
      </w:r>
      <w:r w:rsidR="00CC6CB6" w:rsidRPr="00B10970">
        <w:rPr>
          <w:sz w:val="22"/>
          <w:szCs w:val="22"/>
        </w:rPr>
        <w:t xml:space="preserve"> à 12 ans en 2050.</w:t>
      </w:r>
    </w:p>
    <w:p w:rsidR="00CC6CB6" w:rsidRPr="00B10970" w:rsidRDefault="00CC6CB6" w:rsidP="00031E04">
      <w:pPr>
        <w:pStyle w:val="Paragraphedeliste"/>
        <w:numPr>
          <w:ilvl w:val="0"/>
          <w:numId w:val="97"/>
        </w:numPr>
        <w:spacing w:before="120" w:line="276" w:lineRule="auto"/>
        <w:jc w:val="both"/>
        <w:rPr>
          <w:bCs/>
          <w:i/>
        </w:rPr>
      </w:pPr>
      <w:r w:rsidRPr="00B10970">
        <w:rPr>
          <w:bCs/>
          <w:i/>
        </w:rPr>
        <w:t>Dans le domaine de la santé</w:t>
      </w:r>
    </w:p>
    <w:p w:rsidR="00CC6CB6" w:rsidRPr="00471E77" w:rsidRDefault="00A77994" w:rsidP="00A77994">
      <w:pPr>
        <w:spacing w:before="120" w:line="276" w:lineRule="auto"/>
        <w:ind w:left="1560" w:hanging="1560"/>
        <w:jc w:val="both"/>
        <w:rPr>
          <w:sz w:val="22"/>
          <w:szCs w:val="22"/>
        </w:rPr>
      </w:pPr>
      <w:r w:rsidRPr="00471E77">
        <w:rPr>
          <w:sz w:val="22"/>
          <w:szCs w:val="22"/>
        </w:rPr>
        <w:t>Hypothèse 1</w:t>
      </w:r>
      <w:r w:rsidR="00403F48">
        <w:rPr>
          <w:sz w:val="22"/>
          <w:szCs w:val="22"/>
        </w:rPr>
        <w:t> </w:t>
      </w:r>
      <w:r w:rsidRPr="00471E77">
        <w:rPr>
          <w:sz w:val="22"/>
          <w:szCs w:val="22"/>
        </w:rPr>
        <w:t>:</w:t>
      </w:r>
      <w:r w:rsidR="00D01C92">
        <w:rPr>
          <w:sz w:val="22"/>
          <w:szCs w:val="22"/>
        </w:rPr>
        <w:tab/>
      </w:r>
      <w:r w:rsidRPr="00471E77">
        <w:rPr>
          <w:sz w:val="22"/>
          <w:szCs w:val="22"/>
        </w:rPr>
        <w:t>L</w:t>
      </w:r>
      <w:r w:rsidR="00CC6CB6" w:rsidRPr="00471E77">
        <w:rPr>
          <w:sz w:val="22"/>
          <w:szCs w:val="22"/>
        </w:rPr>
        <w:t>a pr</w:t>
      </w:r>
      <w:r w:rsidRPr="00471E77">
        <w:rPr>
          <w:sz w:val="22"/>
          <w:szCs w:val="22"/>
        </w:rPr>
        <w:t xml:space="preserve">évalence contraceptive moderne </w:t>
      </w:r>
      <w:r w:rsidR="00CC6CB6" w:rsidRPr="00471E77">
        <w:rPr>
          <w:sz w:val="22"/>
          <w:szCs w:val="22"/>
        </w:rPr>
        <w:t xml:space="preserve">varierait de </w:t>
      </w:r>
      <w:r w:rsidR="001C64EC">
        <w:rPr>
          <w:sz w:val="22"/>
          <w:szCs w:val="22"/>
        </w:rPr>
        <w:t>16</w:t>
      </w:r>
      <w:r w:rsidR="00CC6CB6" w:rsidRPr="00471E77">
        <w:rPr>
          <w:sz w:val="22"/>
          <w:szCs w:val="22"/>
        </w:rPr>
        <w:t xml:space="preserve">% en 2010 (INS et ICF International, 2011) à </w:t>
      </w:r>
      <w:r w:rsidRPr="00471E77">
        <w:rPr>
          <w:sz w:val="22"/>
          <w:szCs w:val="22"/>
        </w:rPr>
        <w:t>45,67% en 2050.</w:t>
      </w:r>
    </w:p>
    <w:p w:rsidR="00CC6CB6" w:rsidRPr="00471E77" w:rsidRDefault="00A77994" w:rsidP="00D01C92">
      <w:pPr>
        <w:spacing w:before="60" w:line="276" w:lineRule="auto"/>
        <w:ind w:left="1418" w:hanging="1418"/>
        <w:jc w:val="both"/>
        <w:rPr>
          <w:sz w:val="22"/>
          <w:szCs w:val="22"/>
        </w:rPr>
      </w:pPr>
      <w:r w:rsidRPr="00471E77">
        <w:rPr>
          <w:sz w:val="22"/>
          <w:szCs w:val="22"/>
        </w:rPr>
        <w:t>Hypothèse 2</w:t>
      </w:r>
      <w:r w:rsidR="00403F48">
        <w:rPr>
          <w:sz w:val="22"/>
          <w:szCs w:val="22"/>
        </w:rPr>
        <w:t> </w:t>
      </w:r>
      <w:r w:rsidRPr="00471E77">
        <w:rPr>
          <w:sz w:val="22"/>
          <w:szCs w:val="22"/>
        </w:rPr>
        <w:t>:</w:t>
      </w:r>
      <w:r w:rsidRPr="00471E77">
        <w:rPr>
          <w:sz w:val="22"/>
          <w:szCs w:val="22"/>
        </w:rPr>
        <w:tab/>
      </w:r>
      <w:r w:rsidR="00CC6CB6" w:rsidRPr="00471E77">
        <w:rPr>
          <w:sz w:val="22"/>
          <w:szCs w:val="22"/>
        </w:rPr>
        <w:t xml:space="preserve">L’insusceptibilité </w:t>
      </w:r>
      <w:r w:rsidR="00260C74">
        <w:rPr>
          <w:sz w:val="22"/>
          <w:szCs w:val="22"/>
        </w:rPr>
        <w:t>post-</w:t>
      </w:r>
      <w:proofErr w:type="spellStart"/>
      <w:r w:rsidR="00260C74">
        <w:rPr>
          <w:sz w:val="22"/>
          <w:szCs w:val="22"/>
        </w:rPr>
        <w:t>partum</w:t>
      </w:r>
      <w:r w:rsidR="00CC6CB6" w:rsidRPr="00471E77">
        <w:rPr>
          <w:sz w:val="22"/>
          <w:szCs w:val="22"/>
        </w:rPr>
        <w:t>se</w:t>
      </w:r>
      <w:proofErr w:type="spellEnd"/>
      <w:r w:rsidR="00CC6CB6" w:rsidRPr="00471E77">
        <w:rPr>
          <w:sz w:val="22"/>
          <w:szCs w:val="22"/>
        </w:rPr>
        <w:t xml:space="preserve"> définit comme la période pendant laquelle une femme n'est pratiquement pas soumise au risque de grossesse par suite d'aménorrhée et/ou d'abstinence post-partum. </w:t>
      </w:r>
      <w:r w:rsidR="00403F48" w:rsidRPr="00471E77">
        <w:rPr>
          <w:sz w:val="22"/>
          <w:szCs w:val="22"/>
        </w:rPr>
        <w:t>La</w:t>
      </w:r>
      <w:r w:rsidR="00CC6CB6" w:rsidRPr="00471E77">
        <w:rPr>
          <w:sz w:val="22"/>
          <w:szCs w:val="22"/>
        </w:rPr>
        <w:t xml:space="preserve"> durée de l’insusceptibilité post-partum a été estimée à 12,2 mois en 2010</w:t>
      </w:r>
      <w:r w:rsidRPr="00471E77">
        <w:rPr>
          <w:sz w:val="22"/>
          <w:szCs w:val="22"/>
        </w:rPr>
        <w:t xml:space="preserve"> (</w:t>
      </w:r>
      <w:r w:rsidR="006A449B" w:rsidRPr="00471E77">
        <w:rPr>
          <w:sz w:val="22"/>
          <w:szCs w:val="22"/>
        </w:rPr>
        <w:t>INS et ICF International, 2011</w:t>
      </w:r>
      <w:r w:rsidRPr="00471E77">
        <w:rPr>
          <w:sz w:val="22"/>
          <w:szCs w:val="22"/>
        </w:rPr>
        <w:t>)</w:t>
      </w:r>
      <w:r w:rsidR="00CC6CB6" w:rsidRPr="00471E77">
        <w:rPr>
          <w:sz w:val="22"/>
          <w:szCs w:val="22"/>
        </w:rPr>
        <w:t xml:space="preserve">. </w:t>
      </w:r>
      <w:r w:rsidR="00CC6CB6" w:rsidRPr="00471E77">
        <w:rPr>
          <w:sz w:val="22"/>
          <w:szCs w:val="22"/>
        </w:rPr>
        <w:lastRenderedPageBreak/>
        <w:t>À cet effet, nous faisons l’hypothèse qu’en 2050 la durée de l’insusceptibilité serait de 12,5 mois</w:t>
      </w:r>
      <w:r w:rsidRPr="00471E77">
        <w:rPr>
          <w:rStyle w:val="Appelnotedebasdep"/>
          <w:sz w:val="22"/>
          <w:szCs w:val="22"/>
        </w:rPr>
        <w:footnoteReference w:id="13"/>
      </w:r>
      <w:r w:rsidR="00CC6CB6" w:rsidRPr="00471E77">
        <w:rPr>
          <w:sz w:val="22"/>
          <w:szCs w:val="22"/>
        </w:rPr>
        <w:t>.</w:t>
      </w:r>
    </w:p>
    <w:p w:rsidR="00CC6CB6" w:rsidRDefault="00471E77" w:rsidP="00D01C92">
      <w:pPr>
        <w:spacing w:before="60" w:line="276" w:lineRule="auto"/>
        <w:ind w:left="1418" w:hanging="1418"/>
        <w:jc w:val="both"/>
        <w:rPr>
          <w:sz w:val="22"/>
          <w:szCs w:val="22"/>
        </w:rPr>
      </w:pPr>
      <w:r w:rsidRPr="00471E77">
        <w:rPr>
          <w:sz w:val="22"/>
          <w:szCs w:val="22"/>
        </w:rPr>
        <w:t>Hypothèse 3</w:t>
      </w:r>
      <w:r w:rsidR="00403F48">
        <w:rPr>
          <w:sz w:val="22"/>
          <w:szCs w:val="22"/>
        </w:rPr>
        <w:t> </w:t>
      </w:r>
      <w:r w:rsidRPr="00471E77">
        <w:rPr>
          <w:sz w:val="22"/>
          <w:szCs w:val="22"/>
        </w:rPr>
        <w:t>:</w:t>
      </w:r>
      <w:r w:rsidRPr="00471E77">
        <w:rPr>
          <w:sz w:val="22"/>
          <w:szCs w:val="22"/>
        </w:rPr>
        <w:tab/>
      </w:r>
      <w:r w:rsidR="00CC6CB6" w:rsidRPr="00471E77">
        <w:rPr>
          <w:sz w:val="22"/>
          <w:szCs w:val="22"/>
        </w:rPr>
        <w:t>La stérilité est mesurée par le pourcentage de femmes en union qui restent sans enfant entre 45 et 49 ans. Pour la majorité de pays, la proportion des femmes stériles demeure quasiment constante. La proportion des femmes stériles est de 2,9% en 2010 (INS et ICF International, 2011) et est supposée constante jusqu’en 2050.</w:t>
      </w:r>
    </w:p>
    <w:p w:rsidR="00471E77" w:rsidRPr="00191178" w:rsidRDefault="00471E77" w:rsidP="00376291">
      <w:pPr>
        <w:pStyle w:val="Paragraphedeliste"/>
        <w:numPr>
          <w:ilvl w:val="3"/>
          <w:numId w:val="141"/>
        </w:numPr>
        <w:spacing w:before="120" w:line="276" w:lineRule="auto"/>
        <w:jc w:val="both"/>
        <w:rPr>
          <w:bCs/>
          <w:u w:val="single"/>
        </w:rPr>
      </w:pPr>
      <w:r w:rsidRPr="00191178">
        <w:rPr>
          <w:bCs/>
          <w:u w:val="single"/>
        </w:rPr>
        <w:t>Sous-modèle économique</w:t>
      </w:r>
    </w:p>
    <w:p w:rsidR="00F17946" w:rsidRPr="00624777" w:rsidRDefault="00F17946" w:rsidP="00031E04">
      <w:pPr>
        <w:pStyle w:val="Paragraphedeliste"/>
        <w:numPr>
          <w:ilvl w:val="0"/>
          <w:numId w:val="99"/>
        </w:numPr>
        <w:spacing w:before="120" w:line="276" w:lineRule="auto"/>
        <w:jc w:val="both"/>
        <w:rPr>
          <w:bCs/>
          <w:i/>
        </w:rPr>
      </w:pPr>
      <w:r w:rsidRPr="00624777">
        <w:rPr>
          <w:bCs/>
          <w:i/>
        </w:rPr>
        <w:t>Dans le domaine de la gouvernance</w:t>
      </w:r>
    </w:p>
    <w:p w:rsidR="00F17946" w:rsidRPr="00624777" w:rsidRDefault="00624777" w:rsidP="00624777">
      <w:pPr>
        <w:spacing w:before="120" w:line="276" w:lineRule="auto"/>
        <w:ind w:left="1418" w:hanging="1418"/>
        <w:jc w:val="both"/>
        <w:rPr>
          <w:sz w:val="22"/>
          <w:szCs w:val="22"/>
        </w:rPr>
      </w:pPr>
      <w:r w:rsidRPr="00624777">
        <w:rPr>
          <w:sz w:val="22"/>
          <w:szCs w:val="22"/>
        </w:rPr>
        <w:t>Hypothèse 1 :</w:t>
      </w:r>
      <w:r w:rsidRPr="00624777">
        <w:rPr>
          <w:sz w:val="22"/>
          <w:szCs w:val="22"/>
        </w:rPr>
        <w:tab/>
      </w:r>
      <w:r w:rsidR="00F17946" w:rsidRPr="00624777">
        <w:rPr>
          <w:sz w:val="22"/>
          <w:szCs w:val="22"/>
        </w:rPr>
        <w:t>Indice de bonne gouvernance (droit de propriétaire, corruption et éthique, sécurité, efficacité de l’État, etc.) partant de 3,41 en 2010</w:t>
      </w:r>
      <w:r w:rsidRPr="00624777">
        <w:rPr>
          <w:sz w:val="22"/>
          <w:szCs w:val="22"/>
        </w:rPr>
        <w:t xml:space="preserve"> (</w:t>
      </w:r>
      <w:r w:rsidRPr="00624777">
        <w:rPr>
          <w:color w:val="000000"/>
          <w:sz w:val="22"/>
          <w:szCs w:val="22"/>
          <w:lang w:val="fr-CA" w:eastAsia="fr-CA"/>
        </w:rPr>
        <w:t xml:space="preserve">World </w:t>
      </w:r>
      <w:proofErr w:type="spellStart"/>
      <w:r w:rsidRPr="00624777">
        <w:rPr>
          <w:color w:val="000000"/>
          <w:sz w:val="22"/>
          <w:szCs w:val="22"/>
          <w:lang w:val="fr-CA" w:eastAsia="fr-CA"/>
        </w:rPr>
        <w:t>Economic</w:t>
      </w:r>
      <w:proofErr w:type="spellEnd"/>
      <w:r w:rsidRPr="00624777">
        <w:rPr>
          <w:color w:val="000000"/>
          <w:sz w:val="22"/>
          <w:szCs w:val="22"/>
          <w:lang w:val="fr-CA" w:eastAsia="fr-CA"/>
        </w:rPr>
        <w:t xml:space="preserve"> Forum, Global </w:t>
      </w:r>
      <w:proofErr w:type="spellStart"/>
      <w:r w:rsidRPr="00624777">
        <w:rPr>
          <w:color w:val="000000"/>
          <w:sz w:val="22"/>
          <w:szCs w:val="22"/>
          <w:lang w:val="fr-CA" w:eastAsia="fr-CA"/>
        </w:rPr>
        <w:t>Competitiveness</w:t>
      </w:r>
      <w:proofErr w:type="spellEnd"/>
      <w:r w:rsidRPr="00624777">
        <w:rPr>
          <w:color w:val="000000"/>
          <w:sz w:val="22"/>
          <w:szCs w:val="22"/>
          <w:lang w:val="fr-CA" w:eastAsia="fr-CA"/>
        </w:rPr>
        <w:t xml:space="preserve"> Report 2014-2019)</w:t>
      </w:r>
      <w:r w:rsidR="00F17946" w:rsidRPr="00624777">
        <w:rPr>
          <w:sz w:val="22"/>
          <w:szCs w:val="22"/>
        </w:rPr>
        <w:t>, l’hypothèse émise est que cet indice se situerait à 3,8 en 2050.</w:t>
      </w:r>
    </w:p>
    <w:p w:rsidR="00471E77" w:rsidRPr="00624777" w:rsidRDefault="00471E77" w:rsidP="00031E04">
      <w:pPr>
        <w:pStyle w:val="Paragraphedeliste"/>
        <w:numPr>
          <w:ilvl w:val="0"/>
          <w:numId w:val="101"/>
        </w:numPr>
        <w:spacing w:before="120" w:line="276" w:lineRule="auto"/>
        <w:jc w:val="both"/>
        <w:rPr>
          <w:i/>
        </w:rPr>
      </w:pPr>
      <w:r w:rsidRPr="00624777">
        <w:rPr>
          <w:bCs/>
          <w:i/>
        </w:rPr>
        <w:t>Dans le domaine de l’économie</w:t>
      </w:r>
    </w:p>
    <w:p w:rsidR="00F17946" w:rsidRPr="00624777" w:rsidRDefault="00624777" w:rsidP="00624777">
      <w:pPr>
        <w:spacing w:before="120" w:line="276" w:lineRule="auto"/>
        <w:ind w:left="1418" w:hanging="1418"/>
        <w:jc w:val="both"/>
        <w:rPr>
          <w:sz w:val="22"/>
          <w:szCs w:val="22"/>
        </w:rPr>
      </w:pPr>
      <w:r w:rsidRPr="00624777">
        <w:rPr>
          <w:sz w:val="22"/>
          <w:szCs w:val="22"/>
        </w:rPr>
        <w:t xml:space="preserve">Hypothèse </w:t>
      </w:r>
      <w:r w:rsidR="00403F48">
        <w:rPr>
          <w:sz w:val="22"/>
          <w:szCs w:val="22"/>
        </w:rPr>
        <w:t>1 </w:t>
      </w:r>
      <w:r w:rsidRPr="00624777">
        <w:rPr>
          <w:sz w:val="22"/>
          <w:szCs w:val="22"/>
        </w:rPr>
        <w:t>:</w:t>
      </w:r>
      <w:r w:rsidRPr="00624777">
        <w:rPr>
          <w:sz w:val="22"/>
          <w:szCs w:val="22"/>
        </w:rPr>
        <w:tab/>
      </w:r>
      <w:r w:rsidR="00F17946" w:rsidRPr="00624777">
        <w:rPr>
          <w:sz w:val="22"/>
          <w:szCs w:val="22"/>
        </w:rPr>
        <w:t xml:space="preserve">Importation en % du PIB : l’hypothèse faite envisage une diminution de la proportion des importations d’environ 10%, ainsi on partirait de 33,87% en 2010 </w:t>
      </w:r>
      <w:r w:rsidRPr="00624777">
        <w:rPr>
          <w:sz w:val="22"/>
          <w:szCs w:val="22"/>
        </w:rPr>
        <w:t>(</w:t>
      </w:r>
      <w:r w:rsidRPr="00624777">
        <w:rPr>
          <w:color w:val="000000"/>
          <w:sz w:val="22"/>
          <w:szCs w:val="22"/>
          <w:lang w:val="fr-CA" w:eastAsia="fr-CA"/>
        </w:rPr>
        <w:t xml:space="preserve">World </w:t>
      </w:r>
      <w:proofErr w:type="spellStart"/>
      <w:r w:rsidRPr="00624777">
        <w:rPr>
          <w:color w:val="000000"/>
          <w:sz w:val="22"/>
          <w:szCs w:val="22"/>
          <w:lang w:val="fr-CA" w:eastAsia="fr-CA"/>
        </w:rPr>
        <w:t>Economic</w:t>
      </w:r>
      <w:proofErr w:type="spellEnd"/>
      <w:r w:rsidRPr="00624777">
        <w:rPr>
          <w:color w:val="000000"/>
          <w:sz w:val="22"/>
          <w:szCs w:val="22"/>
          <w:lang w:val="fr-CA" w:eastAsia="fr-CA"/>
        </w:rPr>
        <w:t xml:space="preserve"> Forum, Global </w:t>
      </w:r>
      <w:proofErr w:type="spellStart"/>
      <w:r w:rsidRPr="00624777">
        <w:rPr>
          <w:color w:val="000000"/>
          <w:sz w:val="22"/>
          <w:szCs w:val="22"/>
          <w:lang w:val="fr-CA" w:eastAsia="fr-CA"/>
        </w:rPr>
        <w:t>Competitiveness</w:t>
      </w:r>
      <w:proofErr w:type="spellEnd"/>
      <w:r w:rsidRPr="00624777">
        <w:rPr>
          <w:color w:val="000000"/>
          <w:sz w:val="22"/>
          <w:szCs w:val="22"/>
          <w:lang w:val="fr-CA" w:eastAsia="fr-CA"/>
        </w:rPr>
        <w:t xml:space="preserve"> Report 2014-2019) </w:t>
      </w:r>
      <w:r w:rsidR="00403F48">
        <w:rPr>
          <w:sz w:val="22"/>
          <w:szCs w:val="22"/>
        </w:rPr>
        <w:t>à</w:t>
      </w:r>
      <w:r w:rsidR="00F17946" w:rsidRPr="00624777">
        <w:rPr>
          <w:sz w:val="22"/>
          <w:szCs w:val="22"/>
        </w:rPr>
        <w:t>23% en 2050.</w:t>
      </w:r>
    </w:p>
    <w:p w:rsidR="00F17946" w:rsidRPr="00EC2E68" w:rsidRDefault="00624777" w:rsidP="00D01C92">
      <w:pPr>
        <w:spacing w:before="60" w:line="276" w:lineRule="auto"/>
        <w:ind w:left="1418" w:hanging="1418"/>
        <w:jc w:val="both"/>
      </w:pPr>
      <w:r w:rsidRPr="00624777">
        <w:rPr>
          <w:sz w:val="22"/>
          <w:szCs w:val="22"/>
        </w:rPr>
        <w:t xml:space="preserve">Hypothèse </w:t>
      </w:r>
      <w:r w:rsidR="00403F48">
        <w:rPr>
          <w:sz w:val="22"/>
          <w:szCs w:val="22"/>
        </w:rPr>
        <w:t>2 </w:t>
      </w:r>
      <w:r w:rsidRPr="00624777">
        <w:rPr>
          <w:sz w:val="22"/>
          <w:szCs w:val="22"/>
        </w:rPr>
        <w:t>:</w:t>
      </w:r>
      <w:r w:rsidRPr="00624777">
        <w:rPr>
          <w:sz w:val="22"/>
          <w:szCs w:val="22"/>
        </w:rPr>
        <w:tab/>
      </w:r>
      <w:r w:rsidR="00F17946" w:rsidRPr="00624777">
        <w:rPr>
          <w:sz w:val="22"/>
          <w:szCs w:val="22"/>
        </w:rPr>
        <w:t xml:space="preserve">Indice de flexibilité du marché du travail (flexibilité des salaires, relation employeur-employé, effets de la fiscalité, etc.) : on fait l’hypothèse d’une augmentation du score, passant de 4,39 en 2010 </w:t>
      </w:r>
      <w:r w:rsidRPr="00624777">
        <w:rPr>
          <w:sz w:val="22"/>
          <w:szCs w:val="22"/>
        </w:rPr>
        <w:t>(</w:t>
      </w:r>
      <w:r w:rsidRPr="00624777">
        <w:rPr>
          <w:color w:val="000000"/>
          <w:sz w:val="22"/>
          <w:szCs w:val="22"/>
          <w:lang w:val="fr-CA" w:eastAsia="fr-CA"/>
        </w:rPr>
        <w:t xml:space="preserve">World </w:t>
      </w:r>
      <w:proofErr w:type="spellStart"/>
      <w:r w:rsidRPr="00624777">
        <w:rPr>
          <w:color w:val="000000"/>
          <w:sz w:val="22"/>
          <w:szCs w:val="22"/>
          <w:lang w:val="fr-CA" w:eastAsia="fr-CA"/>
        </w:rPr>
        <w:t>Economic</w:t>
      </w:r>
      <w:proofErr w:type="spellEnd"/>
      <w:r w:rsidRPr="00624777">
        <w:rPr>
          <w:color w:val="000000"/>
          <w:sz w:val="22"/>
          <w:szCs w:val="22"/>
          <w:lang w:val="fr-CA" w:eastAsia="fr-CA"/>
        </w:rPr>
        <w:t xml:space="preserve"> Forum, Global </w:t>
      </w:r>
      <w:proofErr w:type="spellStart"/>
      <w:r w:rsidRPr="00624777">
        <w:rPr>
          <w:color w:val="000000"/>
          <w:sz w:val="22"/>
          <w:szCs w:val="22"/>
          <w:lang w:val="fr-CA" w:eastAsia="fr-CA"/>
        </w:rPr>
        <w:t>Competitiveness</w:t>
      </w:r>
      <w:proofErr w:type="spellEnd"/>
      <w:r w:rsidRPr="00624777">
        <w:rPr>
          <w:color w:val="000000"/>
          <w:sz w:val="22"/>
          <w:szCs w:val="22"/>
          <w:lang w:val="fr-CA" w:eastAsia="fr-CA"/>
        </w:rPr>
        <w:t xml:space="preserve"> Report 2014-2019) </w:t>
      </w:r>
      <w:r w:rsidR="00F17946" w:rsidRPr="00624777">
        <w:rPr>
          <w:sz w:val="22"/>
          <w:szCs w:val="22"/>
        </w:rPr>
        <w:t>à 4,90 en 2050.</w:t>
      </w:r>
    </w:p>
    <w:p w:rsidR="00F17946" w:rsidRPr="00D01C92" w:rsidRDefault="00624777" w:rsidP="00D01C92">
      <w:pPr>
        <w:spacing w:before="60" w:line="276" w:lineRule="auto"/>
        <w:ind w:left="1418" w:hanging="1418"/>
        <w:jc w:val="both"/>
        <w:rPr>
          <w:sz w:val="22"/>
          <w:szCs w:val="22"/>
        </w:rPr>
      </w:pPr>
      <w:r w:rsidRPr="00D01C92">
        <w:rPr>
          <w:sz w:val="22"/>
          <w:szCs w:val="22"/>
        </w:rPr>
        <w:t xml:space="preserve">Hypothèse </w:t>
      </w:r>
      <w:r w:rsidR="00403F48">
        <w:rPr>
          <w:sz w:val="22"/>
          <w:szCs w:val="22"/>
        </w:rPr>
        <w:t>3 </w:t>
      </w:r>
      <w:r w:rsidRPr="00D01C92">
        <w:rPr>
          <w:sz w:val="22"/>
          <w:szCs w:val="22"/>
        </w:rPr>
        <w:t>:</w:t>
      </w:r>
      <w:r w:rsidRPr="00D01C92">
        <w:rPr>
          <w:sz w:val="22"/>
          <w:szCs w:val="22"/>
        </w:rPr>
        <w:tab/>
      </w:r>
      <w:r w:rsidR="00F17946" w:rsidRPr="00D01C92">
        <w:rPr>
          <w:sz w:val="22"/>
          <w:szCs w:val="22"/>
        </w:rPr>
        <w:t xml:space="preserve">Indice d’efficacité </w:t>
      </w:r>
      <w:r w:rsidR="00403F48">
        <w:rPr>
          <w:sz w:val="22"/>
          <w:szCs w:val="22"/>
        </w:rPr>
        <w:t xml:space="preserve">du </w:t>
      </w:r>
      <w:r w:rsidR="005507B9">
        <w:rPr>
          <w:sz w:val="22"/>
          <w:szCs w:val="22"/>
        </w:rPr>
        <w:t>M</w:t>
      </w:r>
      <w:r w:rsidR="00F17946" w:rsidRPr="00D01C92">
        <w:rPr>
          <w:sz w:val="22"/>
          <w:szCs w:val="22"/>
        </w:rPr>
        <w:t xml:space="preserve">arché financier (disponibilité des services financiers, financement par marché des actions locales, facilité d'accès aux prêts et la disponibilité de capital-risque, etc.) : Eu égard aux efforts du Cameroun pour améliorer le climat des affaires (le doing business), il est fait l’hypothèse d’une augmentation du score passant de 3,04 </w:t>
      </w:r>
      <w:r w:rsidR="00D01C92" w:rsidRPr="00D01C92">
        <w:rPr>
          <w:sz w:val="22"/>
          <w:szCs w:val="22"/>
        </w:rPr>
        <w:t>(</w:t>
      </w:r>
      <w:r w:rsidR="00D01C92" w:rsidRPr="00D01C92">
        <w:rPr>
          <w:color w:val="000000"/>
          <w:sz w:val="22"/>
          <w:szCs w:val="22"/>
          <w:lang w:val="fr-CA" w:eastAsia="fr-CA"/>
        </w:rPr>
        <w:t xml:space="preserve">World </w:t>
      </w:r>
      <w:proofErr w:type="spellStart"/>
      <w:r w:rsidR="00D01C92" w:rsidRPr="00D01C92">
        <w:rPr>
          <w:color w:val="000000"/>
          <w:sz w:val="22"/>
          <w:szCs w:val="22"/>
          <w:lang w:val="fr-CA" w:eastAsia="fr-CA"/>
        </w:rPr>
        <w:t>Economic</w:t>
      </w:r>
      <w:proofErr w:type="spellEnd"/>
      <w:r w:rsidR="00D01C92" w:rsidRPr="00D01C92">
        <w:rPr>
          <w:color w:val="000000"/>
          <w:sz w:val="22"/>
          <w:szCs w:val="22"/>
          <w:lang w:val="fr-CA" w:eastAsia="fr-CA"/>
        </w:rPr>
        <w:t xml:space="preserve"> Forum, Global </w:t>
      </w:r>
      <w:proofErr w:type="spellStart"/>
      <w:r w:rsidR="00D01C92" w:rsidRPr="00D01C92">
        <w:rPr>
          <w:color w:val="000000"/>
          <w:sz w:val="22"/>
          <w:szCs w:val="22"/>
          <w:lang w:val="fr-CA" w:eastAsia="fr-CA"/>
        </w:rPr>
        <w:t>Competitiveness</w:t>
      </w:r>
      <w:proofErr w:type="spellEnd"/>
      <w:r w:rsidR="00D01C92" w:rsidRPr="00D01C92">
        <w:rPr>
          <w:color w:val="000000"/>
          <w:sz w:val="22"/>
          <w:szCs w:val="22"/>
          <w:lang w:val="fr-CA" w:eastAsia="fr-CA"/>
        </w:rPr>
        <w:t xml:space="preserve"> Report 2014-2019) </w:t>
      </w:r>
      <w:r w:rsidR="00F17946" w:rsidRPr="00D01C92">
        <w:rPr>
          <w:sz w:val="22"/>
          <w:szCs w:val="22"/>
        </w:rPr>
        <w:t>à 3,60 en 2050.</w:t>
      </w:r>
    </w:p>
    <w:p w:rsidR="00F17946" w:rsidRPr="00D01C92" w:rsidRDefault="00A15075" w:rsidP="00D01C92">
      <w:pPr>
        <w:spacing w:before="60" w:line="276" w:lineRule="auto"/>
        <w:ind w:left="1418" w:hanging="1418"/>
        <w:jc w:val="both"/>
        <w:rPr>
          <w:sz w:val="22"/>
          <w:szCs w:val="22"/>
        </w:rPr>
      </w:pPr>
      <w:r w:rsidRPr="00D01C92">
        <w:rPr>
          <w:sz w:val="22"/>
          <w:szCs w:val="22"/>
        </w:rPr>
        <w:t xml:space="preserve">Hypothèse </w:t>
      </w:r>
      <w:r w:rsidR="00403F48">
        <w:rPr>
          <w:sz w:val="22"/>
          <w:szCs w:val="22"/>
        </w:rPr>
        <w:t>4 </w:t>
      </w:r>
      <w:r w:rsidRPr="00D01C92">
        <w:rPr>
          <w:sz w:val="22"/>
          <w:szCs w:val="22"/>
        </w:rPr>
        <w:t>:</w:t>
      </w:r>
      <w:r w:rsidRPr="00D01C92">
        <w:rPr>
          <w:sz w:val="22"/>
          <w:szCs w:val="22"/>
        </w:rPr>
        <w:tab/>
        <w:t xml:space="preserve">Utilisation des </w:t>
      </w:r>
      <w:r w:rsidR="00922008">
        <w:rPr>
          <w:sz w:val="22"/>
          <w:szCs w:val="22"/>
        </w:rPr>
        <w:t>T</w:t>
      </w:r>
      <w:r w:rsidRPr="00D01C92">
        <w:rPr>
          <w:sz w:val="22"/>
          <w:szCs w:val="22"/>
        </w:rPr>
        <w:t>echnologies d</w:t>
      </w:r>
      <w:r w:rsidR="00403F48">
        <w:rPr>
          <w:sz w:val="22"/>
          <w:szCs w:val="22"/>
        </w:rPr>
        <w:t xml:space="preserve">e </w:t>
      </w:r>
      <w:r w:rsidR="00922008">
        <w:rPr>
          <w:sz w:val="22"/>
          <w:szCs w:val="22"/>
        </w:rPr>
        <w:t>l’I</w:t>
      </w:r>
      <w:r w:rsidR="00922008" w:rsidRPr="00D01C92">
        <w:rPr>
          <w:sz w:val="22"/>
          <w:szCs w:val="22"/>
        </w:rPr>
        <w:t xml:space="preserve">nformation </w:t>
      </w:r>
      <w:r w:rsidRPr="00D01C92">
        <w:rPr>
          <w:sz w:val="22"/>
          <w:szCs w:val="22"/>
        </w:rPr>
        <w:t xml:space="preserve">et de </w:t>
      </w:r>
      <w:r w:rsidR="00403F48">
        <w:rPr>
          <w:sz w:val="22"/>
          <w:szCs w:val="22"/>
        </w:rPr>
        <w:t xml:space="preserve">la </w:t>
      </w:r>
      <w:r w:rsidR="00922008">
        <w:rPr>
          <w:sz w:val="22"/>
          <w:szCs w:val="22"/>
        </w:rPr>
        <w:t>C</w:t>
      </w:r>
      <w:r w:rsidR="00922008" w:rsidRPr="00D01C92">
        <w:rPr>
          <w:sz w:val="22"/>
          <w:szCs w:val="22"/>
        </w:rPr>
        <w:t>ommunication</w:t>
      </w:r>
      <w:r w:rsidRPr="00D01C92">
        <w:rPr>
          <w:sz w:val="22"/>
          <w:szCs w:val="22"/>
        </w:rPr>
        <w:t xml:space="preserve">: Compte tenu de l’intérêt affiché par le </w:t>
      </w:r>
      <w:r w:rsidR="00403F48">
        <w:rPr>
          <w:sz w:val="22"/>
          <w:szCs w:val="22"/>
        </w:rPr>
        <w:t>G</w:t>
      </w:r>
      <w:r w:rsidRPr="00D01C92">
        <w:rPr>
          <w:sz w:val="22"/>
          <w:szCs w:val="22"/>
        </w:rPr>
        <w:t>ouvernement de développer l’économie numérique, on fait l’hypothèse d’une augmentation du score passant de 1,2 en 2010 (</w:t>
      </w:r>
      <w:r w:rsidRPr="00D01C92">
        <w:rPr>
          <w:color w:val="000000"/>
          <w:sz w:val="22"/>
          <w:szCs w:val="22"/>
          <w:lang w:val="fr-CA" w:eastAsia="fr-CA"/>
        </w:rPr>
        <w:t xml:space="preserve">World </w:t>
      </w:r>
      <w:proofErr w:type="spellStart"/>
      <w:r w:rsidRPr="00D01C92">
        <w:rPr>
          <w:color w:val="000000"/>
          <w:sz w:val="22"/>
          <w:szCs w:val="22"/>
          <w:lang w:val="fr-CA" w:eastAsia="fr-CA"/>
        </w:rPr>
        <w:t>Economic</w:t>
      </w:r>
      <w:proofErr w:type="spellEnd"/>
      <w:r w:rsidRPr="00D01C92">
        <w:rPr>
          <w:color w:val="000000"/>
          <w:sz w:val="22"/>
          <w:szCs w:val="22"/>
          <w:lang w:val="fr-CA" w:eastAsia="fr-CA"/>
        </w:rPr>
        <w:t xml:space="preserve"> Forum, Global </w:t>
      </w:r>
      <w:proofErr w:type="spellStart"/>
      <w:r w:rsidRPr="00D01C92">
        <w:rPr>
          <w:color w:val="000000"/>
          <w:sz w:val="22"/>
          <w:szCs w:val="22"/>
          <w:lang w:val="fr-CA" w:eastAsia="fr-CA"/>
        </w:rPr>
        <w:t>Competitiveness</w:t>
      </w:r>
      <w:proofErr w:type="spellEnd"/>
      <w:r w:rsidRPr="00D01C92">
        <w:rPr>
          <w:color w:val="000000"/>
          <w:sz w:val="22"/>
          <w:szCs w:val="22"/>
          <w:lang w:val="fr-CA" w:eastAsia="fr-CA"/>
        </w:rPr>
        <w:t xml:space="preserve"> Report 2014-2019) </w:t>
      </w:r>
      <w:r w:rsidRPr="00D01C92">
        <w:rPr>
          <w:sz w:val="22"/>
          <w:szCs w:val="22"/>
        </w:rPr>
        <w:t>à 4 en 2050.</w:t>
      </w:r>
    </w:p>
    <w:p w:rsidR="00D43463" w:rsidRDefault="00D43463">
      <w:pPr>
        <w:rPr>
          <w:b/>
          <w:color w:val="000000"/>
        </w:rPr>
      </w:pPr>
      <w:r>
        <w:rPr>
          <w:b/>
        </w:rPr>
        <w:br w:type="page"/>
      </w:r>
    </w:p>
    <w:p w:rsidR="00A703E6" w:rsidRDefault="00116899" w:rsidP="009D0363">
      <w:pPr>
        <w:pStyle w:val="Lgende"/>
        <w:spacing w:after="100"/>
        <w:rPr>
          <w:b/>
        </w:rPr>
      </w:pPr>
      <w:bookmarkStart w:id="42" w:name="_Toc479009477"/>
      <w:r w:rsidRPr="00116899">
        <w:rPr>
          <w:b/>
        </w:rPr>
        <w:lastRenderedPageBreak/>
        <w:t xml:space="preserve">Tableau </w:t>
      </w:r>
      <w:r w:rsidR="001B585D" w:rsidRPr="00116899">
        <w:rPr>
          <w:b/>
        </w:rPr>
        <w:fldChar w:fldCharType="begin"/>
      </w:r>
      <w:r w:rsidRPr="00116899">
        <w:rPr>
          <w:b/>
        </w:rPr>
        <w:instrText xml:space="preserve"> SEQ Tableau \* ARABIC </w:instrText>
      </w:r>
      <w:r w:rsidR="001B585D" w:rsidRPr="00116899">
        <w:rPr>
          <w:b/>
        </w:rPr>
        <w:fldChar w:fldCharType="separate"/>
      </w:r>
      <w:r w:rsidR="00104FB7">
        <w:rPr>
          <w:b/>
          <w:noProof/>
        </w:rPr>
        <w:t>1</w:t>
      </w:r>
      <w:r w:rsidR="001B585D" w:rsidRPr="00116899">
        <w:rPr>
          <w:b/>
        </w:rPr>
        <w:fldChar w:fldCharType="end"/>
      </w:r>
      <w:r w:rsidR="00D735D5">
        <w:rPr>
          <w:b/>
        </w:rPr>
        <w:t> </w:t>
      </w:r>
      <w:r w:rsidRPr="00116899">
        <w:rPr>
          <w:b/>
        </w:rPr>
        <w:t>: Synthèse des hypothèses sur les variables de contrôle</w:t>
      </w:r>
      <w:r w:rsidR="005507B9" w:rsidRPr="005507B9">
        <w:rPr>
          <w:rStyle w:val="Appelnotedebasdep"/>
          <w:b/>
        </w:rPr>
        <w:footnoteReference w:id="14"/>
      </w:r>
      <w:r w:rsidR="005507B9" w:rsidRPr="005507B9">
        <w:rPr>
          <w:b/>
        </w:rPr>
        <w:t>.</w:t>
      </w:r>
      <w:bookmarkEnd w:id="42"/>
    </w:p>
    <w:tbl>
      <w:tblPr>
        <w:tblStyle w:val="Grilledutableau"/>
        <w:tblW w:w="9357" w:type="dxa"/>
        <w:tblInd w:w="-318" w:type="dxa"/>
        <w:tblLook w:val="04A0"/>
      </w:tblPr>
      <w:tblGrid>
        <w:gridCol w:w="6096"/>
        <w:gridCol w:w="1701"/>
        <w:gridCol w:w="1560"/>
      </w:tblGrid>
      <w:tr w:rsidR="0017730F" w:rsidRPr="00191178" w:rsidTr="00A87ABE">
        <w:tc>
          <w:tcPr>
            <w:tcW w:w="6096" w:type="dxa"/>
            <w:vMerge w:val="restart"/>
            <w:vAlign w:val="center"/>
          </w:tcPr>
          <w:p w:rsidR="0017730F" w:rsidRPr="00D735D5" w:rsidRDefault="0017730F" w:rsidP="00A87ABE">
            <w:pPr>
              <w:pStyle w:val="Paragraphedeliste"/>
              <w:spacing w:line="276" w:lineRule="auto"/>
              <w:ind w:left="0"/>
              <w:rPr>
                <w:rFonts w:cs="Times New Roman"/>
                <w:b/>
              </w:rPr>
            </w:pPr>
            <w:r w:rsidRPr="00D735D5">
              <w:rPr>
                <w:rFonts w:cs="Times New Roman"/>
                <w:b/>
              </w:rPr>
              <w:t>Domaines</w:t>
            </w:r>
          </w:p>
        </w:tc>
        <w:tc>
          <w:tcPr>
            <w:tcW w:w="1701" w:type="dxa"/>
          </w:tcPr>
          <w:p w:rsidR="0017730F" w:rsidRPr="00D735D5" w:rsidRDefault="0017730F" w:rsidP="00A87ABE">
            <w:pPr>
              <w:pStyle w:val="Paragraphedeliste"/>
              <w:spacing w:line="276" w:lineRule="auto"/>
              <w:ind w:left="0"/>
              <w:jc w:val="center"/>
              <w:rPr>
                <w:rFonts w:cs="Times New Roman"/>
                <w:b/>
              </w:rPr>
            </w:pPr>
            <w:r w:rsidRPr="00D735D5">
              <w:rPr>
                <w:rFonts w:cs="Times New Roman"/>
                <w:b/>
              </w:rPr>
              <w:t>Année de début de projections</w:t>
            </w:r>
          </w:p>
        </w:tc>
        <w:tc>
          <w:tcPr>
            <w:tcW w:w="1560" w:type="dxa"/>
          </w:tcPr>
          <w:p w:rsidR="0017730F" w:rsidRPr="00D735D5" w:rsidRDefault="0017730F" w:rsidP="00A87ABE">
            <w:pPr>
              <w:pStyle w:val="Paragraphedeliste"/>
              <w:spacing w:line="276" w:lineRule="auto"/>
              <w:ind w:left="0"/>
              <w:jc w:val="center"/>
              <w:rPr>
                <w:rFonts w:cs="Times New Roman"/>
                <w:b/>
              </w:rPr>
            </w:pPr>
            <w:r w:rsidRPr="00D735D5">
              <w:rPr>
                <w:rFonts w:cs="Times New Roman"/>
                <w:b/>
              </w:rPr>
              <w:t>Année de fin de projections</w:t>
            </w:r>
          </w:p>
        </w:tc>
      </w:tr>
      <w:tr w:rsidR="0017730F" w:rsidRPr="00191178" w:rsidTr="003D6792">
        <w:tc>
          <w:tcPr>
            <w:tcW w:w="6096" w:type="dxa"/>
            <w:vMerge/>
          </w:tcPr>
          <w:p w:rsidR="0017730F" w:rsidRPr="00D735D5" w:rsidRDefault="0017730F" w:rsidP="00D5454A">
            <w:pPr>
              <w:pStyle w:val="Paragraphedeliste"/>
              <w:spacing w:line="276" w:lineRule="auto"/>
              <w:ind w:left="0"/>
              <w:jc w:val="both"/>
              <w:rPr>
                <w:rFonts w:cs="Times New Roman"/>
                <w:b/>
              </w:rPr>
            </w:pPr>
          </w:p>
        </w:tc>
        <w:tc>
          <w:tcPr>
            <w:tcW w:w="1701" w:type="dxa"/>
          </w:tcPr>
          <w:p w:rsidR="0017730F" w:rsidRPr="00D735D5" w:rsidRDefault="0017730F" w:rsidP="00A87ABE">
            <w:pPr>
              <w:pStyle w:val="Paragraphedeliste"/>
              <w:spacing w:line="276" w:lineRule="auto"/>
              <w:ind w:left="0"/>
              <w:jc w:val="center"/>
              <w:rPr>
                <w:rFonts w:cs="Times New Roman"/>
                <w:b/>
              </w:rPr>
            </w:pPr>
            <w:r w:rsidRPr="00D735D5">
              <w:rPr>
                <w:rFonts w:cs="Times New Roman"/>
                <w:b/>
              </w:rPr>
              <w:t>2010</w:t>
            </w:r>
          </w:p>
        </w:tc>
        <w:tc>
          <w:tcPr>
            <w:tcW w:w="1560" w:type="dxa"/>
          </w:tcPr>
          <w:p w:rsidR="0017730F" w:rsidRPr="00D735D5" w:rsidRDefault="0017730F" w:rsidP="00A87ABE">
            <w:pPr>
              <w:pStyle w:val="Paragraphedeliste"/>
              <w:spacing w:line="276" w:lineRule="auto"/>
              <w:ind w:left="0"/>
              <w:jc w:val="center"/>
              <w:rPr>
                <w:rFonts w:cs="Times New Roman"/>
                <w:b/>
              </w:rPr>
            </w:pPr>
            <w:r w:rsidRPr="00D735D5">
              <w:rPr>
                <w:rFonts w:cs="Times New Roman"/>
                <w:b/>
              </w:rPr>
              <w:t>2050</w:t>
            </w:r>
          </w:p>
        </w:tc>
      </w:tr>
      <w:tr w:rsidR="00CE234D" w:rsidRPr="00191178" w:rsidTr="003D6792">
        <w:tc>
          <w:tcPr>
            <w:tcW w:w="6096" w:type="dxa"/>
          </w:tcPr>
          <w:p w:rsidR="00CE234D" w:rsidRPr="00D735D5" w:rsidRDefault="00CE234D" w:rsidP="00D5454A">
            <w:pPr>
              <w:pStyle w:val="Paragraphedeliste"/>
              <w:spacing w:line="276" w:lineRule="auto"/>
              <w:ind w:left="0"/>
              <w:jc w:val="both"/>
              <w:rPr>
                <w:rFonts w:cs="Times New Roman"/>
                <w:b/>
              </w:rPr>
            </w:pPr>
            <w:r w:rsidRPr="00D735D5">
              <w:rPr>
                <w:rFonts w:cs="Times New Roman"/>
                <w:b/>
              </w:rPr>
              <w:t>Gouvernance</w:t>
            </w:r>
          </w:p>
        </w:tc>
        <w:tc>
          <w:tcPr>
            <w:tcW w:w="1701" w:type="dxa"/>
          </w:tcPr>
          <w:p w:rsidR="00CE234D" w:rsidRPr="00D735D5" w:rsidRDefault="00CE234D" w:rsidP="00D5454A">
            <w:pPr>
              <w:pStyle w:val="Paragraphedeliste"/>
              <w:spacing w:line="276" w:lineRule="auto"/>
              <w:ind w:left="0"/>
              <w:jc w:val="both"/>
              <w:rPr>
                <w:rFonts w:cs="Times New Roman"/>
              </w:rPr>
            </w:pPr>
          </w:p>
        </w:tc>
        <w:tc>
          <w:tcPr>
            <w:tcW w:w="1560" w:type="dxa"/>
          </w:tcPr>
          <w:p w:rsidR="00CE234D" w:rsidRPr="00D735D5" w:rsidRDefault="00CE234D" w:rsidP="00D5454A">
            <w:pPr>
              <w:pStyle w:val="Paragraphedeliste"/>
              <w:spacing w:line="276" w:lineRule="auto"/>
              <w:ind w:left="0"/>
              <w:jc w:val="both"/>
              <w:rPr>
                <w:rFonts w:cs="Times New Roman"/>
              </w:rPr>
            </w:pPr>
          </w:p>
        </w:tc>
      </w:tr>
      <w:tr w:rsidR="00CE234D" w:rsidRPr="00191178" w:rsidTr="003D6792">
        <w:tc>
          <w:tcPr>
            <w:tcW w:w="6096" w:type="dxa"/>
          </w:tcPr>
          <w:p w:rsidR="00CE234D" w:rsidRPr="00D735D5" w:rsidRDefault="00CE234D" w:rsidP="00D5454A">
            <w:pPr>
              <w:pStyle w:val="Paragraphedeliste"/>
              <w:spacing w:line="276" w:lineRule="auto"/>
              <w:ind w:left="0"/>
              <w:jc w:val="both"/>
              <w:rPr>
                <w:rFonts w:cs="Times New Roman"/>
              </w:rPr>
            </w:pPr>
            <w:r w:rsidRPr="00D735D5">
              <w:rPr>
                <w:rFonts w:cs="Times New Roman"/>
              </w:rPr>
              <w:t>Indice de bonne gouvernance</w:t>
            </w:r>
          </w:p>
        </w:tc>
        <w:tc>
          <w:tcPr>
            <w:tcW w:w="1701" w:type="dxa"/>
          </w:tcPr>
          <w:p w:rsidR="00CE234D" w:rsidRPr="00D735D5" w:rsidRDefault="00CE234D" w:rsidP="00A87ABE">
            <w:pPr>
              <w:pStyle w:val="Paragraphedeliste"/>
              <w:spacing w:line="276" w:lineRule="auto"/>
              <w:ind w:left="0"/>
              <w:jc w:val="right"/>
              <w:rPr>
                <w:rFonts w:cs="Times New Roman"/>
              </w:rPr>
            </w:pPr>
            <w:r w:rsidRPr="00D735D5">
              <w:rPr>
                <w:rFonts w:cs="Times New Roman"/>
              </w:rPr>
              <w:t>3,41</w:t>
            </w:r>
          </w:p>
        </w:tc>
        <w:tc>
          <w:tcPr>
            <w:tcW w:w="1560" w:type="dxa"/>
          </w:tcPr>
          <w:p w:rsidR="00CE234D" w:rsidRPr="00D735D5" w:rsidRDefault="00CE234D" w:rsidP="00A87ABE">
            <w:pPr>
              <w:pStyle w:val="Paragraphedeliste"/>
              <w:spacing w:line="276" w:lineRule="auto"/>
              <w:ind w:left="0"/>
              <w:jc w:val="right"/>
              <w:rPr>
                <w:rFonts w:cs="Times New Roman"/>
              </w:rPr>
            </w:pPr>
            <w:r w:rsidRPr="00D735D5">
              <w:rPr>
                <w:rFonts w:cs="Times New Roman"/>
              </w:rPr>
              <w:t>3,8</w:t>
            </w:r>
          </w:p>
        </w:tc>
      </w:tr>
      <w:tr w:rsidR="00CE234D" w:rsidRPr="00191178" w:rsidTr="003D6792">
        <w:tc>
          <w:tcPr>
            <w:tcW w:w="6096" w:type="dxa"/>
          </w:tcPr>
          <w:p w:rsidR="00CE234D" w:rsidRPr="00D735D5" w:rsidRDefault="00CE234D" w:rsidP="00D5454A">
            <w:pPr>
              <w:pStyle w:val="Paragraphedeliste"/>
              <w:spacing w:line="276" w:lineRule="auto"/>
              <w:ind w:left="0"/>
              <w:jc w:val="both"/>
              <w:rPr>
                <w:rFonts w:cs="Times New Roman"/>
                <w:b/>
              </w:rPr>
            </w:pPr>
            <w:r w:rsidRPr="00D735D5">
              <w:rPr>
                <w:rFonts w:cs="Times New Roman"/>
                <w:b/>
              </w:rPr>
              <w:t>Économie</w:t>
            </w:r>
          </w:p>
        </w:tc>
        <w:tc>
          <w:tcPr>
            <w:tcW w:w="1701" w:type="dxa"/>
          </w:tcPr>
          <w:p w:rsidR="00CE234D" w:rsidRPr="00D735D5" w:rsidRDefault="00CE234D" w:rsidP="00A87ABE">
            <w:pPr>
              <w:pStyle w:val="Paragraphedeliste"/>
              <w:spacing w:line="276" w:lineRule="auto"/>
              <w:ind w:left="0"/>
              <w:jc w:val="right"/>
              <w:rPr>
                <w:rFonts w:cs="Times New Roman"/>
              </w:rPr>
            </w:pPr>
          </w:p>
        </w:tc>
        <w:tc>
          <w:tcPr>
            <w:tcW w:w="1560" w:type="dxa"/>
          </w:tcPr>
          <w:p w:rsidR="00CE234D" w:rsidRPr="00D735D5" w:rsidRDefault="00CE234D" w:rsidP="00A87ABE">
            <w:pPr>
              <w:pStyle w:val="Paragraphedeliste"/>
              <w:spacing w:line="276" w:lineRule="auto"/>
              <w:ind w:left="0"/>
              <w:jc w:val="right"/>
              <w:rPr>
                <w:rFonts w:cs="Times New Roman"/>
              </w:rPr>
            </w:pPr>
          </w:p>
        </w:tc>
      </w:tr>
      <w:tr w:rsidR="00CE234D" w:rsidRPr="00191178" w:rsidTr="003D6792">
        <w:tc>
          <w:tcPr>
            <w:tcW w:w="6096" w:type="dxa"/>
          </w:tcPr>
          <w:p w:rsidR="00CE234D" w:rsidRPr="00D735D5" w:rsidRDefault="00CE234D" w:rsidP="00D5454A">
            <w:pPr>
              <w:pStyle w:val="Paragraphedeliste"/>
              <w:spacing w:line="276" w:lineRule="auto"/>
              <w:ind w:left="0"/>
              <w:jc w:val="both"/>
              <w:rPr>
                <w:rFonts w:cs="Times New Roman"/>
              </w:rPr>
            </w:pPr>
            <w:r w:rsidRPr="00D735D5">
              <w:rPr>
                <w:rFonts w:cs="Times New Roman"/>
              </w:rPr>
              <w:t>Importation en % du PIB</w:t>
            </w:r>
          </w:p>
        </w:tc>
        <w:tc>
          <w:tcPr>
            <w:tcW w:w="1701" w:type="dxa"/>
          </w:tcPr>
          <w:p w:rsidR="00CE234D" w:rsidRPr="00D735D5" w:rsidRDefault="00CE234D" w:rsidP="00A87ABE">
            <w:pPr>
              <w:pStyle w:val="Paragraphedeliste"/>
              <w:spacing w:line="276" w:lineRule="auto"/>
              <w:ind w:left="0"/>
              <w:jc w:val="right"/>
              <w:rPr>
                <w:rFonts w:cs="Times New Roman"/>
              </w:rPr>
            </w:pPr>
            <w:r w:rsidRPr="00D735D5">
              <w:rPr>
                <w:rFonts w:cs="Times New Roman"/>
              </w:rPr>
              <w:t>33,87%</w:t>
            </w:r>
          </w:p>
        </w:tc>
        <w:tc>
          <w:tcPr>
            <w:tcW w:w="1560" w:type="dxa"/>
          </w:tcPr>
          <w:p w:rsidR="00CE234D" w:rsidRPr="00D735D5" w:rsidRDefault="00CE234D" w:rsidP="00A87ABE">
            <w:pPr>
              <w:pStyle w:val="Paragraphedeliste"/>
              <w:spacing w:line="276" w:lineRule="auto"/>
              <w:ind w:left="0"/>
              <w:jc w:val="right"/>
              <w:rPr>
                <w:rFonts w:cs="Times New Roman"/>
              </w:rPr>
            </w:pPr>
            <w:r w:rsidRPr="00D735D5">
              <w:rPr>
                <w:rFonts w:cs="Times New Roman"/>
              </w:rPr>
              <w:t>23%</w:t>
            </w:r>
          </w:p>
        </w:tc>
      </w:tr>
      <w:tr w:rsidR="00CE234D" w:rsidRPr="00191178" w:rsidTr="003D6792">
        <w:tc>
          <w:tcPr>
            <w:tcW w:w="6096" w:type="dxa"/>
          </w:tcPr>
          <w:p w:rsidR="00CE234D" w:rsidRPr="00D735D5" w:rsidRDefault="00CE234D" w:rsidP="00D5454A">
            <w:pPr>
              <w:pStyle w:val="Paragraphedeliste"/>
              <w:spacing w:line="276" w:lineRule="auto"/>
              <w:ind w:left="0"/>
              <w:jc w:val="both"/>
              <w:rPr>
                <w:rFonts w:cs="Times New Roman"/>
              </w:rPr>
            </w:pPr>
            <w:r w:rsidRPr="00D735D5">
              <w:rPr>
                <w:rFonts w:cs="Times New Roman"/>
              </w:rPr>
              <w:t>Indice de flexibilité du marché du travail</w:t>
            </w:r>
          </w:p>
        </w:tc>
        <w:tc>
          <w:tcPr>
            <w:tcW w:w="1701" w:type="dxa"/>
          </w:tcPr>
          <w:p w:rsidR="00CE234D" w:rsidRPr="00D735D5" w:rsidRDefault="00116899" w:rsidP="00A87ABE">
            <w:pPr>
              <w:pStyle w:val="Paragraphedeliste"/>
              <w:spacing w:line="276" w:lineRule="auto"/>
              <w:ind w:left="0"/>
              <w:jc w:val="right"/>
              <w:rPr>
                <w:rFonts w:cs="Times New Roman"/>
              </w:rPr>
            </w:pPr>
            <w:r w:rsidRPr="00D735D5">
              <w:rPr>
                <w:rFonts w:cs="Times New Roman"/>
              </w:rPr>
              <w:t>4,39</w:t>
            </w:r>
          </w:p>
        </w:tc>
        <w:tc>
          <w:tcPr>
            <w:tcW w:w="1560" w:type="dxa"/>
          </w:tcPr>
          <w:p w:rsidR="00CE234D" w:rsidRPr="00D735D5" w:rsidRDefault="00733D0B" w:rsidP="00A87ABE">
            <w:pPr>
              <w:pStyle w:val="Paragraphedeliste"/>
              <w:spacing w:line="276" w:lineRule="auto"/>
              <w:ind w:left="0"/>
              <w:jc w:val="right"/>
              <w:rPr>
                <w:rFonts w:cs="Times New Roman"/>
              </w:rPr>
            </w:pPr>
            <w:r w:rsidRPr="00D735D5">
              <w:rPr>
                <w:rFonts w:cs="Times New Roman"/>
              </w:rPr>
              <w:t>4,90</w:t>
            </w:r>
          </w:p>
        </w:tc>
      </w:tr>
      <w:tr w:rsidR="00733D0B" w:rsidRPr="00191178" w:rsidTr="00E7083A">
        <w:tc>
          <w:tcPr>
            <w:tcW w:w="6096" w:type="dxa"/>
            <w:vAlign w:val="bottom"/>
          </w:tcPr>
          <w:p w:rsidR="00733D0B" w:rsidRPr="00D735D5" w:rsidRDefault="00116899" w:rsidP="00D5454A">
            <w:pPr>
              <w:pStyle w:val="Paragraphedeliste"/>
              <w:spacing w:line="276" w:lineRule="auto"/>
              <w:ind w:left="0"/>
              <w:jc w:val="both"/>
              <w:rPr>
                <w:rFonts w:cs="Times New Roman"/>
              </w:rPr>
            </w:pPr>
            <w:r w:rsidRPr="00D735D5">
              <w:rPr>
                <w:rFonts w:cs="Times New Roman"/>
              </w:rPr>
              <w:t>Efficacité du marché financier</w:t>
            </w:r>
          </w:p>
        </w:tc>
        <w:tc>
          <w:tcPr>
            <w:tcW w:w="1701" w:type="dxa"/>
            <w:vAlign w:val="bottom"/>
          </w:tcPr>
          <w:p w:rsidR="00733D0B" w:rsidRPr="00D735D5" w:rsidRDefault="00116899" w:rsidP="00A87ABE">
            <w:pPr>
              <w:pStyle w:val="Paragraphedeliste"/>
              <w:spacing w:line="276" w:lineRule="auto"/>
              <w:ind w:left="0"/>
              <w:jc w:val="right"/>
              <w:rPr>
                <w:rFonts w:cs="Times New Roman"/>
              </w:rPr>
            </w:pPr>
            <w:r w:rsidRPr="00D735D5">
              <w:rPr>
                <w:rFonts w:cs="Times New Roman"/>
              </w:rPr>
              <w:t>3,04</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3,60</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Utilisation accrue des technologies d’information et de communication</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1,2</w:t>
            </w:r>
            <w:r w:rsidR="00D735D5">
              <w:rPr>
                <w:rFonts w:cs="Times New Roman"/>
              </w:rPr>
              <w:t>0</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4</w:t>
            </w:r>
            <w:r w:rsidR="00D735D5">
              <w:rPr>
                <w:rFonts w:cs="Times New Roman"/>
              </w:rPr>
              <w:t>,00</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b/>
              </w:rPr>
            </w:pPr>
            <w:r w:rsidRPr="00D735D5">
              <w:rPr>
                <w:rFonts w:cs="Times New Roman"/>
                <w:b/>
              </w:rPr>
              <w:t>Éducation</w:t>
            </w:r>
          </w:p>
        </w:tc>
        <w:tc>
          <w:tcPr>
            <w:tcW w:w="1701" w:type="dxa"/>
          </w:tcPr>
          <w:p w:rsidR="00733D0B" w:rsidRPr="00D735D5" w:rsidRDefault="00733D0B" w:rsidP="00A87ABE">
            <w:pPr>
              <w:pStyle w:val="Paragraphedeliste"/>
              <w:spacing w:line="276" w:lineRule="auto"/>
              <w:ind w:left="0"/>
              <w:jc w:val="right"/>
              <w:rPr>
                <w:rFonts w:cs="Times New Roman"/>
              </w:rPr>
            </w:pPr>
          </w:p>
        </w:tc>
        <w:tc>
          <w:tcPr>
            <w:tcW w:w="1560" w:type="dxa"/>
          </w:tcPr>
          <w:p w:rsidR="00733D0B" w:rsidRPr="00D735D5" w:rsidRDefault="00733D0B" w:rsidP="00A87ABE">
            <w:pPr>
              <w:pStyle w:val="Paragraphedeliste"/>
              <w:spacing w:line="276" w:lineRule="auto"/>
              <w:ind w:left="0"/>
              <w:jc w:val="right"/>
              <w:rPr>
                <w:rFonts w:cs="Times New Roman"/>
              </w:rPr>
            </w:pP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Nombre d’années scolaires attendu pour les filles</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9,5 ans</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13 ans</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Nombre d’années scolaires attendu pour les garçons</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11,40 ans</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16 ans</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Nombre moyen d’années passées dans le système éducatif pour les femmes</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5,27 ans</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10 ans</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Nombre moyen d’années passées dans le système éducatif</w:t>
            </w:r>
            <w:r w:rsidR="00403F48" w:rsidRPr="00D735D5">
              <w:rPr>
                <w:rFonts w:cs="Times New Roman"/>
              </w:rPr>
              <w:t xml:space="preserve"> pour les hommes</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6,68 ans</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12 ans</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b/>
              </w:rPr>
            </w:pPr>
            <w:r w:rsidRPr="00D735D5">
              <w:rPr>
                <w:rFonts w:cs="Times New Roman"/>
                <w:b/>
              </w:rPr>
              <w:t>Santé</w:t>
            </w:r>
          </w:p>
        </w:tc>
        <w:tc>
          <w:tcPr>
            <w:tcW w:w="1701" w:type="dxa"/>
          </w:tcPr>
          <w:p w:rsidR="00733D0B" w:rsidRPr="00D735D5" w:rsidRDefault="00733D0B" w:rsidP="00A87ABE">
            <w:pPr>
              <w:pStyle w:val="Paragraphedeliste"/>
              <w:spacing w:line="276" w:lineRule="auto"/>
              <w:ind w:left="0"/>
              <w:jc w:val="right"/>
              <w:rPr>
                <w:rFonts w:cs="Times New Roman"/>
              </w:rPr>
            </w:pPr>
          </w:p>
        </w:tc>
        <w:tc>
          <w:tcPr>
            <w:tcW w:w="1560" w:type="dxa"/>
          </w:tcPr>
          <w:p w:rsidR="00733D0B" w:rsidRPr="00D735D5" w:rsidRDefault="00733D0B" w:rsidP="00A87ABE">
            <w:pPr>
              <w:pStyle w:val="Paragraphedeliste"/>
              <w:spacing w:line="276" w:lineRule="auto"/>
              <w:ind w:left="0"/>
              <w:jc w:val="right"/>
              <w:rPr>
                <w:rFonts w:cs="Times New Roman"/>
              </w:rPr>
            </w:pP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Prévalence contraceptive moderne</w:t>
            </w:r>
          </w:p>
        </w:tc>
        <w:tc>
          <w:tcPr>
            <w:tcW w:w="1701" w:type="dxa"/>
          </w:tcPr>
          <w:p w:rsidR="00733D0B" w:rsidRPr="00D735D5" w:rsidRDefault="00733D0B" w:rsidP="00733D0B">
            <w:pPr>
              <w:pStyle w:val="Paragraphedeliste"/>
              <w:spacing w:line="276" w:lineRule="auto"/>
              <w:ind w:left="0"/>
              <w:jc w:val="right"/>
              <w:rPr>
                <w:rFonts w:cs="Times New Roman"/>
              </w:rPr>
            </w:pPr>
            <w:r w:rsidRPr="00D735D5">
              <w:rPr>
                <w:rFonts w:cs="Times New Roman"/>
              </w:rPr>
              <w:t>16%</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45,67%</w:t>
            </w:r>
          </w:p>
        </w:tc>
      </w:tr>
      <w:tr w:rsidR="00733D0B" w:rsidRPr="00191178" w:rsidTr="003D6792">
        <w:tc>
          <w:tcPr>
            <w:tcW w:w="6096" w:type="dxa"/>
          </w:tcPr>
          <w:p w:rsidR="00733D0B" w:rsidRPr="00D735D5" w:rsidRDefault="00733D0B" w:rsidP="00D5454A">
            <w:pPr>
              <w:pStyle w:val="Paragraphedeliste"/>
              <w:spacing w:line="276" w:lineRule="auto"/>
              <w:ind w:left="0"/>
              <w:jc w:val="both"/>
            </w:pPr>
            <w:r w:rsidRPr="00D735D5">
              <w:t>Prévalence contraceptive traditionnelle</w:t>
            </w:r>
          </w:p>
        </w:tc>
        <w:tc>
          <w:tcPr>
            <w:tcW w:w="1701" w:type="dxa"/>
          </w:tcPr>
          <w:p w:rsidR="00733D0B" w:rsidRPr="00D735D5" w:rsidDel="00733D0B" w:rsidRDefault="00733D0B" w:rsidP="00733D0B">
            <w:pPr>
              <w:pStyle w:val="Paragraphedeliste"/>
              <w:spacing w:line="276" w:lineRule="auto"/>
              <w:ind w:left="0"/>
              <w:jc w:val="right"/>
            </w:pPr>
            <w:r w:rsidRPr="00D735D5">
              <w:t>8%</w:t>
            </w:r>
          </w:p>
        </w:tc>
        <w:tc>
          <w:tcPr>
            <w:tcW w:w="1560" w:type="dxa"/>
          </w:tcPr>
          <w:p w:rsidR="00733D0B" w:rsidRPr="00D735D5" w:rsidRDefault="00733D0B" w:rsidP="00A87ABE">
            <w:pPr>
              <w:pStyle w:val="Paragraphedeliste"/>
              <w:spacing w:line="276" w:lineRule="auto"/>
              <w:ind w:left="0"/>
              <w:jc w:val="right"/>
            </w:pPr>
            <w:r w:rsidRPr="00D735D5">
              <w:t>4%</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Insusceptibilité post-partum</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12,2 mois</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12,5 mois</w:t>
            </w:r>
          </w:p>
        </w:tc>
      </w:tr>
      <w:tr w:rsidR="00733D0B" w:rsidRPr="00191178" w:rsidTr="003D6792">
        <w:tc>
          <w:tcPr>
            <w:tcW w:w="6096" w:type="dxa"/>
          </w:tcPr>
          <w:p w:rsidR="00733D0B" w:rsidRPr="00D735D5" w:rsidRDefault="00733D0B" w:rsidP="00D5454A">
            <w:pPr>
              <w:pStyle w:val="Paragraphedeliste"/>
              <w:spacing w:line="276" w:lineRule="auto"/>
              <w:ind w:left="0"/>
              <w:jc w:val="both"/>
              <w:rPr>
                <w:rFonts w:cs="Times New Roman"/>
              </w:rPr>
            </w:pPr>
            <w:r w:rsidRPr="00D735D5">
              <w:rPr>
                <w:rFonts w:cs="Times New Roman"/>
              </w:rPr>
              <w:t>Stérilité</w:t>
            </w:r>
          </w:p>
        </w:tc>
        <w:tc>
          <w:tcPr>
            <w:tcW w:w="1701"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2,9%</w:t>
            </w:r>
          </w:p>
        </w:tc>
        <w:tc>
          <w:tcPr>
            <w:tcW w:w="1560" w:type="dxa"/>
          </w:tcPr>
          <w:p w:rsidR="00733D0B" w:rsidRPr="00D735D5" w:rsidRDefault="00733D0B" w:rsidP="00A87ABE">
            <w:pPr>
              <w:pStyle w:val="Paragraphedeliste"/>
              <w:spacing w:line="276" w:lineRule="auto"/>
              <w:ind w:left="0"/>
              <w:jc w:val="right"/>
              <w:rPr>
                <w:rFonts w:cs="Times New Roman"/>
              </w:rPr>
            </w:pPr>
            <w:r w:rsidRPr="00D735D5">
              <w:rPr>
                <w:rFonts w:cs="Times New Roman"/>
              </w:rPr>
              <w:t>2,9%</w:t>
            </w:r>
          </w:p>
        </w:tc>
      </w:tr>
    </w:tbl>
    <w:p w:rsidR="008E776A" w:rsidRDefault="008E776A" w:rsidP="00031E04">
      <w:pPr>
        <w:pStyle w:val="Titre1"/>
        <w:numPr>
          <w:ilvl w:val="0"/>
          <w:numId w:val="102"/>
        </w:numPr>
        <w:spacing w:before="240" w:after="0"/>
        <w:ind w:left="714" w:hanging="357"/>
        <w:jc w:val="both"/>
        <w:rPr>
          <w:rFonts w:ascii="Times New Roman" w:hAnsi="Times New Roman" w:cs="Times New Roman"/>
          <w:sz w:val="24"/>
          <w:szCs w:val="24"/>
        </w:rPr>
      </w:pPr>
      <w:bookmarkStart w:id="43" w:name="_Toc474777043"/>
      <w:bookmarkStart w:id="44" w:name="_Toc479009924"/>
      <w:r w:rsidRPr="00EC2E68">
        <w:rPr>
          <w:rFonts w:ascii="Times New Roman" w:hAnsi="Times New Roman" w:cs="Times New Roman"/>
          <w:sz w:val="24"/>
          <w:szCs w:val="24"/>
        </w:rPr>
        <w:t>Analyse de</w:t>
      </w:r>
      <w:r w:rsidR="004157D1">
        <w:rPr>
          <w:rFonts w:ascii="Times New Roman" w:hAnsi="Times New Roman" w:cs="Times New Roman"/>
          <w:sz w:val="24"/>
          <w:szCs w:val="24"/>
        </w:rPr>
        <w:t>s résultats de</w:t>
      </w:r>
      <w:r w:rsidRPr="00EC2E68">
        <w:rPr>
          <w:rFonts w:ascii="Times New Roman" w:hAnsi="Times New Roman" w:cs="Times New Roman"/>
          <w:sz w:val="24"/>
          <w:szCs w:val="24"/>
        </w:rPr>
        <w:t xml:space="preserve"> la modélisation</w:t>
      </w:r>
      <w:bookmarkEnd w:id="43"/>
      <w:bookmarkEnd w:id="44"/>
    </w:p>
    <w:p w:rsidR="00E97F8A" w:rsidRPr="00E97F8A" w:rsidRDefault="00641945" w:rsidP="00845611">
      <w:pPr>
        <w:spacing w:before="240" w:line="276" w:lineRule="auto"/>
        <w:jc w:val="both"/>
      </w:pPr>
      <w:r>
        <w:t xml:space="preserve">Cette analyse vise à mettre en lumière </w:t>
      </w:r>
      <w:r w:rsidR="002E7163">
        <w:t xml:space="preserve">les résultats les plus pertinents en vue de l'atteinte </w:t>
      </w:r>
      <w:r w:rsidR="00403F48">
        <w:t xml:space="preserve">des objectifs de </w:t>
      </w:r>
      <w:r w:rsidR="002E7163">
        <w:t>développement du pays</w:t>
      </w:r>
      <w:r w:rsidR="00E97F8A" w:rsidRPr="00D24D6D">
        <w:t>.</w:t>
      </w:r>
      <w:r w:rsidR="002E7163">
        <w:t xml:space="preserve"> Elle portera essentiellement sur les trois modèles 1, 2 et 3. Le modèle </w:t>
      </w:r>
      <w:r w:rsidR="005F2A47">
        <w:t xml:space="preserve">0 </w:t>
      </w:r>
      <w:r w:rsidR="002E7163">
        <w:t>étant le modèle</w:t>
      </w:r>
      <w:r w:rsidR="00D735D5">
        <w:t xml:space="preserve"> de référence de base.</w:t>
      </w:r>
    </w:p>
    <w:p w:rsidR="008E776A" w:rsidRPr="005643FE" w:rsidRDefault="004A56D7" w:rsidP="00031E04">
      <w:pPr>
        <w:pStyle w:val="Paragraphedeliste"/>
        <w:numPr>
          <w:ilvl w:val="0"/>
          <w:numId w:val="103"/>
        </w:numPr>
        <w:spacing w:before="120"/>
        <w:ind w:left="1134" w:hanging="777"/>
        <w:jc w:val="both"/>
        <w:outlineLvl w:val="1"/>
        <w:rPr>
          <w:bCs/>
          <w:u w:val="single"/>
        </w:rPr>
      </w:pPr>
      <w:bookmarkStart w:id="45" w:name="_Toc479009925"/>
      <w:r w:rsidRPr="005643FE">
        <w:rPr>
          <w:bCs/>
          <w:u w:val="single"/>
        </w:rPr>
        <w:t>Ouverture de la fenêtre d'opportunité</w:t>
      </w:r>
      <w:bookmarkEnd w:id="45"/>
    </w:p>
    <w:p w:rsidR="008E776A" w:rsidRDefault="004A56D7" w:rsidP="00845611">
      <w:pPr>
        <w:spacing w:before="120" w:line="276" w:lineRule="auto"/>
        <w:jc w:val="both"/>
      </w:pPr>
      <w:r>
        <w:t xml:space="preserve">Les études antérieures </w:t>
      </w:r>
      <w:r w:rsidR="00526AA3">
        <w:t xml:space="preserve">évoquées </w:t>
      </w:r>
      <w:r>
        <w:t>précédemment ont montré que la fenêtre d'opportunité pour la capture du dividende démographique intervient dès que le rapport de dépendance est inférieur ou égal à 80%.</w:t>
      </w:r>
    </w:p>
    <w:p w:rsidR="008853E6" w:rsidRDefault="00BC63E6" w:rsidP="00845611">
      <w:pPr>
        <w:spacing w:before="120" w:line="276" w:lineRule="auto"/>
        <w:jc w:val="both"/>
      </w:pPr>
      <w:r>
        <w:t>Le tableau 1 montre ainsi que, toutes choses étant égales par ailleurs,</w:t>
      </w:r>
      <w:r w:rsidR="002B6037">
        <w:t xml:space="preserve"> </w:t>
      </w:r>
      <w:r>
        <w:t>la fenêtre d'opportunité s'ouvrira</w:t>
      </w:r>
      <w:r w:rsidR="00E103E5">
        <w:t>it</w:t>
      </w:r>
      <w:r>
        <w:t xml:space="preserve"> pour le Cameroun vers l'année 2021, si des actions sont prises actuellement en matière d'économie, d'éducation et de santé (modèle 3).</w:t>
      </w:r>
      <w:r w:rsidR="00827641">
        <w:t>Ce modèle est aussi le seul qui conduit à une décroissance rapide des rapports de dépendance (</w:t>
      </w:r>
      <w:r w:rsidR="00866AA1">
        <w:t xml:space="preserve">figure </w:t>
      </w:r>
      <w:r w:rsidR="00937003">
        <w:lastRenderedPageBreak/>
        <w:t>7</w:t>
      </w:r>
      <w:r w:rsidR="00827641">
        <w:t xml:space="preserve">), et par conséquent à une plus grande ouverture des investissements et des emplois des jeunes actifs. </w:t>
      </w:r>
      <w:r w:rsidR="001C64EC">
        <w:t>Les</w:t>
      </w:r>
      <w:r w:rsidR="00827641">
        <w:t xml:space="preserve"> analyses par la suite permettront de vérifier cette hypothèse. </w:t>
      </w:r>
    </w:p>
    <w:p w:rsidR="00BC63E6" w:rsidRDefault="00A87ABE" w:rsidP="00845611">
      <w:pPr>
        <w:spacing w:before="120" w:line="276" w:lineRule="auto"/>
        <w:jc w:val="both"/>
      </w:pPr>
      <w:r>
        <w:t xml:space="preserve">Cette échéance </w:t>
      </w:r>
      <w:r w:rsidR="00E103E5">
        <w:t xml:space="preserve">serait </w:t>
      </w:r>
      <w:r>
        <w:t>repoussée de 2 ans</w:t>
      </w:r>
      <w:r w:rsidR="008853E6">
        <w:t xml:space="preserve"> à 6 ans plus tard</w:t>
      </w:r>
      <w:r>
        <w:t xml:space="preserve"> (2023</w:t>
      </w:r>
      <w:r w:rsidR="008853E6">
        <w:t xml:space="preserve"> à 2027</w:t>
      </w:r>
      <w:r>
        <w:t xml:space="preserve">) si </w:t>
      </w:r>
      <w:r w:rsidR="008853E6">
        <w:t>l'</w:t>
      </w:r>
      <w:r>
        <w:t xml:space="preserve">on s'en tient à l'économie et à l'éducation seulement. Des actions uniquement économiques ne </w:t>
      </w:r>
      <w:r w:rsidR="00E103E5">
        <w:t xml:space="preserve">permettraient </w:t>
      </w:r>
      <w:r w:rsidR="00526AA3">
        <w:t xml:space="preserve">pas </w:t>
      </w:r>
      <w:r>
        <w:t>d'atte</w:t>
      </w:r>
      <w:r w:rsidR="00526AA3">
        <w:t>i</w:t>
      </w:r>
      <w:r>
        <w:t xml:space="preserve">ndre cette opportunité dans les cinquante </w:t>
      </w:r>
      <w:r w:rsidR="00526AA3">
        <w:t>prochaines années</w:t>
      </w:r>
      <w:r w:rsidR="00D735D5">
        <w:t>.</w:t>
      </w:r>
    </w:p>
    <w:p w:rsidR="00A703E6" w:rsidRDefault="00116899" w:rsidP="009D0363">
      <w:pPr>
        <w:pStyle w:val="Lgende"/>
        <w:spacing w:before="240" w:after="100"/>
        <w:rPr>
          <w:b/>
        </w:rPr>
      </w:pPr>
      <w:bookmarkStart w:id="46" w:name="_Toc479009478"/>
      <w:r w:rsidRPr="00116899">
        <w:rPr>
          <w:b/>
        </w:rPr>
        <w:t xml:space="preserve">Tableau </w:t>
      </w:r>
      <w:r w:rsidR="001B585D" w:rsidRPr="00116899">
        <w:rPr>
          <w:b/>
        </w:rPr>
        <w:fldChar w:fldCharType="begin"/>
      </w:r>
      <w:r w:rsidRPr="00116899">
        <w:rPr>
          <w:b/>
        </w:rPr>
        <w:instrText xml:space="preserve"> SEQ Tableau \* ARABIC </w:instrText>
      </w:r>
      <w:r w:rsidR="001B585D" w:rsidRPr="00116899">
        <w:rPr>
          <w:b/>
        </w:rPr>
        <w:fldChar w:fldCharType="separate"/>
      </w:r>
      <w:r w:rsidR="00104FB7">
        <w:rPr>
          <w:b/>
          <w:noProof/>
        </w:rPr>
        <w:t>2</w:t>
      </w:r>
      <w:r w:rsidR="001B585D" w:rsidRPr="00116899">
        <w:rPr>
          <w:b/>
        </w:rPr>
        <w:fldChar w:fldCharType="end"/>
      </w:r>
      <w:r w:rsidR="00D735D5">
        <w:rPr>
          <w:b/>
        </w:rPr>
        <w:t> </w:t>
      </w:r>
      <w:r w:rsidRPr="00116899">
        <w:rPr>
          <w:b/>
        </w:rPr>
        <w:t>: Évolution du rapport de dépendance (%) en quelques années de référence.</w:t>
      </w:r>
      <w:bookmarkEnd w:id="46"/>
    </w:p>
    <w:tbl>
      <w:tblPr>
        <w:tblStyle w:val="Grilledutableau"/>
        <w:tblW w:w="0" w:type="auto"/>
        <w:tblLook w:val="04A0"/>
      </w:tblPr>
      <w:tblGrid>
        <w:gridCol w:w="1304"/>
        <w:gridCol w:w="1158"/>
        <w:gridCol w:w="1015"/>
        <w:gridCol w:w="896"/>
        <w:gridCol w:w="1015"/>
        <w:gridCol w:w="1015"/>
        <w:gridCol w:w="1158"/>
        <w:gridCol w:w="1158"/>
      </w:tblGrid>
      <w:tr w:rsidR="001409C8" w:rsidTr="001409C8">
        <w:tc>
          <w:tcPr>
            <w:tcW w:w="1304" w:type="dxa"/>
          </w:tcPr>
          <w:p w:rsidR="001409C8" w:rsidRPr="001409C8" w:rsidRDefault="001409C8" w:rsidP="00BC63E6">
            <w:pPr>
              <w:jc w:val="both"/>
              <w:rPr>
                <w:b/>
              </w:rPr>
            </w:pPr>
            <w:r w:rsidRPr="001409C8">
              <w:rPr>
                <w:b/>
              </w:rPr>
              <w:t>Modèle</w:t>
            </w:r>
          </w:p>
        </w:tc>
        <w:tc>
          <w:tcPr>
            <w:tcW w:w="1158" w:type="dxa"/>
          </w:tcPr>
          <w:p w:rsidR="001409C8" w:rsidRPr="001409C8" w:rsidRDefault="001409C8" w:rsidP="001409C8">
            <w:pPr>
              <w:jc w:val="center"/>
              <w:rPr>
                <w:b/>
              </w:rPr>
            </w:pPr>
            <w:r w:rsidRPr="001409C8">
              <w:rPr>
                <w:b/>
              </w:rPr>
              <w:t>2010</w:t>
            </w:r>
          </w:p>
        </w:tc>
        <w:tc>
          <w:tcPr>
            <w:tcW w:w="1015" w:type="dxa"/>
          </w:tcPr>
          <w:p w:rsidR="001409C8" w:rsidRPr="001409C8" w:rsidRDefault="001409C8" w:rsidP="001409C8">
            <w:pPr>
              <w:jc w:val="center"/>
              <w:rPr>
                <w:b/>
              </w:rPr>
            </w:pPr>
            <w:r w:rsidRPr="001409C8">
              <w:rPr>
                <w:b/>
              </w:rPr>
              <w:t>2021</w:t>
            </w:r>
          </w:p>
        </w:tc>
        <w:tc>
          <w:tcPr>
            <w:tcW w:w="896" w:type="dxa"/>
          </w:tcPr>
          <w:p w:rsidR="001409C8" w:rsidRPr="001409C8" w:rsidRDefault="001409C8" w:rsidP="001409C8">
            <w:pPr>
              <w:jc w:val="center"/>
              <w:rPr>
                <w:b/>
              </w:rPr>
            </w:pPr>
            <w:r>
              <w:rPr>
                <w:b/>
              </w:rPr>
              <w:t>2022</w:t>
            </w:r>
          </w:p>
        </w:tc>
        <w:tc>
          <w:tcPr>
            <w:tcW w:w="1015" w:type="dxa"/>
          </w:tcPr>
          <w:p w:rsidR="001409C8" w:rsidRPr="001409C8" w:rsidRDefault="001409C8" w:rsidP="001409C8">
            <w:pPr>
              <w:jc w:val="center"/>
              <w:rPr>
                <w:b/>
              </w:rPr>
            </w:pPr>
            <w:r w:rsidRPr="001409C8">
              <w:rPr>
                <w:b/>
              </w:rPr>
              <w:t>2023</w:t>
            </w:r>
          </w:p>
        </w:tc>
        <w:tc>
          <w:tcPr>
            <w:tcW w:w="1015" w:type="dxa"/>
          </w:tcPr>
          <w:p w:rsidR="001409C8" w:rsidRPr="001409C8" w:rsidRDefault="001409C8" w:rsidP="001409C8">
            <w:pPr>
              <w:jc w:val="center"/>
              <w:rPr>
                <w:b/>
              </w:rPr>
            </w:pPr>
            <w:r w:rsidRPr="001409C8">
              <w:rPr>
                <w:b/>
              </w:rPr>
              <w:t>2027</w:t>
            </w:r>
          </w:p>
        </w:tc>
        <w:tc>
          <w:tcPr>
            <w:tcW w:w="1158" w:type="dxa"/>
          </w:tcPr>
          <w:p w:rsidR="001409C8" w:rsidRPr="001409C8" w:rsidRDefault="001409C8" w:rsidP="001409C8">
            <w:pPr>
              <w:jc w:val="center"/>
              <w:rPr>
                <w:b/>
              </w:rPr>
            </w:pPr>
            <w:r w:rsidRPr="001409C8">
              <w:rPr>
                <w:b/>
              </w:rPr>
              <w:t>2035</w:t>
            </w:r>
          </w:p>
        </w:tc>
        <w:tc>
          <w:tcPr>
            <w:tcW w:w="1158" w:type="dxa"/>
          </w:tcPr>
          <w:p w:rsidR="001409C8" w:rsidRPr="001409C8" w:rsidRDefault="001409C8" w:rsidP="001409C8">
            <w:pPr>
              <w:jc w:val="center"/>
              <w:rPr>
                <w:b/>
              </w:rPr>
            </w:pPr>
            <w:r w:rsidRPr="001409C8">
              <w:rPr>
                <w:b/>
              </w:rPr>
              <w:t>2050</w:t>
            </w:r>
          </w:p>
        </w:tc>
      </w:tr>
      <w:tr w:rsidR="001409C8" w:rsidTr="001409C8">
        <w:tc>
          <w:tcPr>
            <w:tcW w:w="1304" w:type="dxa"/>
          </w:tcPr>
          <w:p w:rsidR="001409C8" w:rsidRDefault="001409C8" w:rsidP="00BC63E6">
            <w:pPr>
              <w:jc w:val="both"/>
            </w:pPr>
            <w:r>
              <w:t>Modèle 0</w:t>
            </w:r>
          </w:p>
        </w:tc>
        <w:tc>
          <w:tcPr>
            <w:tcW w:w="1158" w:type="dxa"/>
          </w:tcPr>
          <w:p w:rsidR="001409C8" w:rsidRDefault="001409C8" w:rsidP="001409C8">
            <w:pPr>
              <w:jc w:val="center"/>
            </w:pPr>
            <w:r>
              <w:t>88</w:t>
            </w:r>
          </w:p>
        </w:tc>
        <w:tc>
          <w:tcPr>
            <w:tcW w:w="1015" w:type="dxa"/>
          </w:tcPr>
          <w:p w:rsidR="001409C8" w:rsidRDefault="001409C8" w:rsidP="001409C8">
            <w:pPr>
              <w:jc w:val="center"/>
            </w:pPr>
            <w:r>
              <w:t>83</w:t>
            </w:r>
          </w:p>
        </w:tc>
        <w:tc>
          <w:tcPr>
            <w:tcW w:w="896" w:type="dxa"/>
          </w:tcPr>
          <w:p w:rsidR="001409C8" w:rsidRDefault="001409C8" w:rsidP="001409C8">
            <w:pPr>
              <w:jc w:val="center"/>
            </w:pPr>
            <w:r>
              <w:t>82</w:t>
            </w:r>
          </w:p>
        </w:tc>
        <w:tc>
          <w:tcPr>
            <w:tcW w:w="1015" w:type="dxa"/>
          </w:tcPr>
          <w:p w:rsidR="001409C8" w:rsidRDefault="001409C8" w:rsidP="001409C8">
            <w:pPr>
              <w:jc w:val="center"/>
            </w:pPr>
            <w:r>
              <w:t>82</w:t>
            </w:r>
          </w:p>
        </w:tc>
        <w:tc>
          <w:tcPr>
            <w:tcW w:w="1015" w:type="dxa"/>
          </w:tcPr>
          <w:p w:rsidR="001409C8" w:rsidRDefault="001409C8" w:rsidP="001409C8">
            <w:pPr>
              <w:jc w:val="center"/>
            </w:pPr>
            <w:r>
              <w:t>82</w:t>
            </w:r>
          </w:p>
        </w:tc>
        <w:tc>
          <w:tcPr>
            <w:tcW w:w="1158" w:type="dxa"/>
          </w:tcPr>
          <w:p w:rsidR="001409C8" w:rsidRDefault="001409C8" w:rsidP="001409C8">
            <w:pPr>
              <w:jc w:val="center"/>
            </w:pPr>
            <w:r>
              <w:t>81</w:t>
            </w:r>
          </w:p>
        </w:tc>
        <w:tc>
          <w:tcPr>
            <w:tcW w:w="1158" w:type="dxa"/>
          </w:tcPr>
          <w:p w:rsidR="001409C8" w:rsidRDefault="001409C8" w:rsidP="001409C8">
            <w:pPr>
              <w:jc w:val="center"/>
            </w:pPr>
            <w:r>
              <w:t>83</w:t>
            </w:r>
          </w:p>
        </w:tc>
      </w:tr>
      <w:tr w:rsidR="001409C8" w:rsidTr="001409C8">
        <w:tc>
          <w:tcPr>
            <w:tcW w:w="1304" w:type="dxa"/>
          </w:tcPr>
          <w:p w:rsidR="001409C8" w:rsidRDefault="001409C8" w:rsidP="00BC63E6">
            <w:pPr>
              <w:jc w:val="both"/>
            </w:pPr>
            <w:r>
              <w:t>Modèle 1</w:t>
            </w:r>
          </w:p>
        </w:tc>
        <w:tc>
          <w:tcPr>
            <w:tcW w:w="1158" w:type="dxa"/>
          </w:tcPr>
          <w:p w:rsidR="001409C8" w:rsidRDefault="001409C8" w:rsidP="001409C8">
            <w:pPr>
              <w:jc w:val="center"/>
            </w:pPr>
            <w:r>
              <w:t>88</w:t>
            </w:r>
          </w:p>
        </w:tc>
        <w:tc>
          <w:tcPr>
            <w:tcW w:w="1015" w:type="dxa"/>
          </w:tcPr>
          <w:p w:rsidR="001409C8" w:rsidRDefault="001409C8" w:rsidP="001409C8">
            <w:pPr>
              <w:jc w:val="center"/>
            </w:pPr>
            <w:r>
              <w:t>83</w:t>
            </w:r>
          </w:p>
        </w:tc>
        <w:tc>
          <w:tcPr>
            <w:tcW w:w="896" w:type="dxa"/>
          </w:tcPr>
          <w:p w:rsidR="001409C8" w:rsidRDefault="001409C8" w:rsidP="001409C8">
            <w:pPr>
              <w:jc w:val="center"/>
            </w:pPr>
            <w:r>
              <w:t>82</w:t>
            </w:r>
          </w:p>
        </w:tc>
        <w:tc>
          <w:tcPr>
            <w:tcW w:w="1015" w:type="dxa"/>
          </w:tcPr>
          <w:p w:rsidR="001409C8" w:rsidRDefault="001409C8" w:rsidP="001409C8">
            <w:pPr>
              <w:jc w:val="center"/>
            </w:pPr>
            <w:r>
              <w:t>82</w:t>
            </w:r>
          </w:p>
        </w:tc>
        <w:tc>
          <w:tcPr>
            <w:tcW w:w="1015" w:type="dxa"/>
          </w:tcPr>
          <w:p w:rsidR="001409C8" w:rsidRDefault="001409C8" w:rsidP="001409C8">
            <w:pPr>
              <w:jc w:val="center"/>
            </w:pPr>
            <w:r>
              <w:t>82</w:t>
            </w:r>
          </w:p>
        </w:tc>
        <w:tc>
          <w:tcPr>
            <w:tcW w:w="1158" w:type="dxa"/>
          </w:tcPr>
          <w:p w:rsidR="001409C8" w:rsidRDefault="001409C8" w:rsidP="001409C8">
            <w:pPr>
              <w:jc w:val="center"/>
            </w:pPr>
            <w:r>
              <w:t>81</w:t>
            </w:r>
          </w:p>
        </w:tc>
        <w:tc>
          <w:tcPr>
            <w:tcW w:w="1158" w:type="dxa"/>
          </w:tcPr>
          <w:p w:rsidR="001409C8" w:rsidRDefault="001409C8" w:rsidP="001409C8">
            <w:pPr>
              <w:jc w:val="center"/>
            </w:pPr>
            <w:r>
              <w:t>83</w:t>
            </w:r>
          </w:p>
        </w:tc>
      </w:tr>
      <w:tr w:rsidR="001409C8" w:rsidTr="008853E6">
        <w:tc>
          <w:tcPr>
            <w:tcW w:w="1304" w:type="dxa"/>
          </w:tcPr>
          <w:p w:rsidR="001409C8" w:rsidRDefault="001409C8" w:rsidP="00BC63E6">
            <w:pPr>
              <w:jc w:val="both"/>
            </w:pPr>
            <w:r>
              <w:t>Modèle 2</w:t>
            </w:r>
          </w:p>
        </w:tc>
        <w:tc>
          <w:tcPr>
            <w:tcW w:w="1158" w:type="dxa"/>
          </w:tcPr>
          <w:p w:rsidR="001409C8" w:rsidRDefault="001409C8" w:rsidP="001409C8">
            <w:pPr>
              <w:jc w:val="center"/>
            </w:pPr>
            <w:r>
              <w:t>88</w:t>
            </w:r>
          </w:p>
        </w:tc>
        <w:tc>
          <w:tcPr>
            <w:tcW w:w="1015" w:type="dxa"/>
          </w:tcPr>
          <w:p w:rsidR="001409C8" w:rsidRDefault="001409C8" w:rsidP="001409C8">
            <w:pPr>
              <w:jc w:val="center"/>
            </w:pPr>
            <w:r>
              <w:t>81</w:t>
            </w:r>
          </w:p>
        </w:tc>
        <w:tc>
          <w:tcPr>
            <w:tcW w:w="896" w:type="dxa"/>
          </w:tcPr>
          <w:p w:rsidR="001409C8" w:rsidRDefault="001409C8" w:rsidP="001409C8">
            <w:pPr>
              <w:jc w:val="center"/>
            </w:pPr>
            <w:r>
              <w:t>81</w:t>
            </w:r>
          </w:p>
        </w:tc>
        <w:tc>
          <w:tcPr>
            <w:tcW w:w="1015" w:type="dxa"/>
            <w:shd w:val="clear" w:color="auto" w:fill="DDD9C3" w:themeFill="background2" w:themeFillShade="E6"/>
          </w:tcPr>
          <w:p w:rsidR="001409C8" w:rsidRDefault="001409C8" w:rsidP="001409C8">
            <w:pPr>
              <w:jc w:val="center"/>
            </w:pPr>
            <w:r>
              <w:t>80</w:t>
            </w:r>
          </w:p>
        </w:tc>
        <w:tc>
          <w:tcPr>
            <w:tcW w:w="1015" w:type="dxa"/>
            <w:shd w:val="clear" w:color="auto" w:fill="DDD9C3" w:themeFill="background2" w:themeFillShade="E6"/>
          </w:tcPr>
          <w:p w:rsidR="001409C8" w:rsidRDefault="001409C8" w:rsidP="001409C8">
            <w:pPr>
              <w:jc w:val="center"/>
            </w:pPr>
            <w:r>
              <w:t>80</w:t>
            </w:r>
          </w:p>
        </w:tc>
        <w:tc>
          <w:tcPr>
            <w:tcW w:w="1158" w:type="dxa"/>
          </w:tcPr>
          <w:p w:rsidR="001409C8" w:rsidRDefault="001409C8" w:rsidP="001409C8">
            <w:pPr>
              <w:jc w:val="center"/>
            </w:pPr>
            <w:r>
              <w:t>76</w:t>
            </w:r>
          </w:p>
        </w:tc>
        <w:tc>
          <w:tcPr>
            <w:tcW w:w="1158" w:type="dxa"/>
          </w:tcPr>
          <w:p w:rsidR="001409C8" w:rsidRDefault="001409C8" w:rsidP="001409C8">
            <w:pPr>
              <w:jc w:val="center"/>
            </w:pPr>
            <w:r>
              <w:t>75</w:t>
            </w:r>
          </w:p>
        </w:tc>
      </w:tr>
      <w:tr w:rsidR="001409C8" w:rsidTr="001409C8">
        <w:tc>
          <w:tcPr>
            <w:tcW w:w="1304" w:type="dxa"/>
          </w:tcPr>
          <w:p w:rsidR="001409C8" w:rsidRDefault="001409C8" w:rsidP="00BC63E6">
            <w:pPr>
              <w:jc w:val="both"/>
            </w:pPr>
            <w:r>
              <w:t>Modèle 3</w:t>
            </w:r>
          </w:p>
        </w:tc>
        <w:tc>
          <w:tcPr>
            <w:tcW w:w="1158" w:type="dxa"/>
          </w:tcPr>
          <w:p w:rsidR="001409C8" w:rsidRDefault="001409C8" w:rsidP="001409C8">
            <w:pPr>
              <w:jc w:val="center"/>
            </w:pPr>
            <w:r>
              <w:t>88</w:t>
            </w:r>
          </w:p>
        </w:tc>
        <w:tc>
          <w:tcPr>
            <w:tcW w:w="1015" w:type="dxa"/>
            <w:shd w:val="clear" w:color="auto" w:fill="DDD9C3" w:themeFill="background2" w:themeFillShade="E6"/>
          </w:tcPr>
          <w:p w:rsidR="001409C8" w:rsidRDefault="001409C8" w:rsidP="001409C8">
            <w:pPr>
              <w:jc w:val="center"/>
            </w:pPr>
            <w:r>
              <w:t>80</w:t>
            </w:r>
          </w:p>
        </w:tc>
        <w:tc>
          <w:tcPr>
            <w:tcW w:w="896" w:type="dxa"/>
          </w:tcPr>
          <w:p w:rsidR="001409C8" w:rsidRDefault="001409C8" w:rsidP="001409C8">
            <w:pPr>
              <w:jc w:val="center"/>
            </w:pPr>
            <w:r>
              <w:t>79</w:t>
            </w:r>
          </w:p>
        </w:tc>
        <w:tc>
          <w:tcPr>
            <w:tcW w:w="1015" w:type="dxa"/>
          </w:tcPr>
          <w:p w:rsidR="001409C8" w:rsidRDefault="001409C8" w:rsidP="001409C8">
            <w:pPr>
              <w:jc w:val="center"/>
            </w:pPr>
            <w:r>
              <w:t>78</w:t>
            </w:r>
          </w:p>
        </w:tc>
        <w:tc>
          <w:tcPr>
            <w:tcW w:w="1015" w:type="dxa"/>
          </w:tcPr>
          <w:p w:rsidR="001409C8" w:rsidRDefault="001409C8" w:rsidP="001409C8">
            <w:pPr>
              <w:jc w:val="center"/>
            </w:pPr>
            <w:r>
              <w:t>77</w:t>
            </w:r>
          </w:p>
        </w:tc>
        <w:tc>
          <w:tcPr>
            <w:tcW w:w="1158" w:type="dxa"/>
          </w:tcPr>
          <w:p w:rsidR="001409C8" w:rsidRDefault="001409C8" w:rsidP="001409C8">
            <w:pPr>
              <w:jc w:val="center"/>
            </w:pPr>
            <w:r>
              <w:t>71</w:t>
            </w:r>
          </w:p>
        </w:tc>
        <w:tc>
          <w:tcPr>
            <w:tcW w:w="1158" w:type="dxa"/>
          </w:tcPr>
          <w:p w:rsidR="001409C8" w:rsidRDefault="001409C8" w:rsidP="001409C8">
            <w:pPr>
              <w:jc w:val="center"/>
            </w:pPr>
            <w:r>
              <w:t>67</w:t>
            </w:r>
          </w:p>
        </w:tc>
      </w:tr>
    </w:tbl>
    <w:p w:rsidR="00A703E6" w:rsidRDefault="00A703E6" w:rsidP="009D0363">
      <w:pPr>
        <w:pStyle w:val="Lgende"/>
        <w:spacing w:after="100"/>
      </w:pPr>
      <w:bookmarkStart w:id="47" w:name="_Toc474830039"/>
    </w:p>
    <w:p w:rsidR="005507B9" w:rsidRPr="006465D2" w:rsidRDefault="006465D2" w:rsidP="006465D2">
      <w:pPr>
        <w:pStyle w:val="Lgende"/>
      </w:pPr>
      <w:bookmarkStart w:id="48" w:name="_Toc479007717"/>
      <w:r>
        <w:t xml:space="preserve">Figure </w:t>
      </w:r>
      <w:fldSimple w:instr=" SEQ Figure \* ARABIC ">
        <w:r w:rsidR="00CE2B53">
          <w:rPr>
            <w:noProof/>
          </w:rPr>
          <w:t>7</w:t>
        </w:r>
      </w:fldSimple>
      <w:r w:rsidR="00D735D5">
        <w:t> </w:t>
      </w:r>
      <w:r>
        <w:t xml:space="preserve">: </w:t>
      </w:r>
      <w:r w:rsidRPr="00374756">
        <w:t>Évolution des rapports de dépendance au Cameroun selon les différents scénarii.</w:t>
      </w:r>
      <w:bookmarkEnd w:id="48"/>
    </w:p>
    <w:bookmarkEnd w:id="47"/>
    <w:p w:rsidR="00827641" w:rsidRDefault="00827641" w:rsidP="00827641">
      <w:pPr>
        <w:jc w:val="both"/>
        <w:rPr>
          <w:rFonts w:ascii="Tw Cen MT" w:hAnsi="Tw Cen MT" w:cs="Tw Cen MT"/>
        </w:rPr>
      </w:pPr>
      <w:r w:rsidRPr="00617EA8">
        <w:rPr>
          <w:rFonts w:ascii="Tw Cen MT" w:hAnsi="Tw Cen MT" w:cs="Tw Cen MT"/>
          <w:noProof/>
        </w:rPr>
        <w:drawing>
          <wp:inline distT="0" distB="0" distL="0" distR="0">
            <wp:extent cx="5512279" cy="2458528"/>
            <wp:effectExtent l="0" t="0" r="0" b="0"/>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502D6" w:rsidRDefault="000502D6" w:rsidP="000502D6">
      <w:pPr>
        <w:pStyle w:val="Lgende"/>
      </w:pPr>
    </w:p>
    <w:p w:rsidR="000502D6" w:rsidRDefault="000502D6" w:rsidP="000502D6">
      <w:pPr>
        <w:pStyle w:val="Lgende"/>
      </w:pPr>
    </w:p>
    <w:p w:rsidR="000502D6" w:rsidRDefault="000502D6" w:rsidP="000502D6">
      <w:pPr>
        <w:pStyle w:val="Lgende"/>
      </w:pPr>
    </w:p>
    <w:p w:rsidR="000502D6" w:rsidRDefault="000502D6" w:rsidP="000502D6">
      <w:pPr>
        <w:pStyle w:val="Lgende"/>
      </w:pPr>
    </w:p>
    <w:p w:rsidR="009D0363" w:rsidRDefault="009D0363">
      <w:pPr>
        <w:rPr>
          <w:color w:val="000000"/>
        </w:rPr>
      </w:pPr>
      <w:r>
        <w:br w:type="page"/>
      </w:r>
    </w:p>
    <w:p w:rsidR="00A703E6" w:rsidRDefault="000502D6" w:rsidP="000502D6">
      <w:pPr>
        <w:pStyle w:val="Lgende"/>
        <w:rPr>
          <w:b/>
        </w:rPr>
      </w:pPr>
      <w:bookmarkStart w:id="49" w:name="_Toc479007718"/>
      <w:r>
        <w:lastRenderedPageBreak/>
        <w:t xml:space="preserve">Figure </w:t>
      </w:r>
      <w:fldSimple w:instr=" SEQ Figure \* ARABIC ">
        <w:r w:rsidR="00CE2B53">
          <w:rPr>
            <w:noProof/>
          </w:rPr>
          <w:t>8</w:t>
        </w:r>
      </w:fldSimple>
      <w:r w:rsidR="008A4B7A">
        <w:t> </w:t>
      </w:r>
      <w:r>
        <w:t xml:space="preserve">: </w:t>
      </w:r>
      <w:r w:rsidRPr="00B80CC9">
        <w:t>Évolution de la structure de la population par âge au Cameroun.</w:t>
      </w:r>
      <w:bookmarkEnd w:id="49"/>
    </w:p>
    <w:p w:rsidR="000502D6" w:rsidRDefault="000502D6" w:rsidP="000502D6">
      <w:r w:rsidRPr="0096573F">
        <w:rPr>
          <w:noProof/>
        </w:rPr>
        <w:drawing>
          <wp:inline distT="0" distB="0" distL="0" distR="0">
            <wp:extent cx="5520690" cy="2446020"/>
            <wp:effectExtent l="19050" t="0" r="381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6009" t="20471" r="32694" b="22823"/>
                    <a:stretch>
                      <a:fillRect/>
                    </a:stretch>
                  </pic:blipFill>
                  <pic:spPr bwMode="auto">
                    <a:xfrm>
                      <a:off x="0" y="0"/>
                      <a:ext cx="5520690" cy="2446020"/>
                    </a:xfrm>
                    <a:prstGeom prst="rect">
                      <a:avLst/>
                    </a:prstGeom>
                    <a:noFill/>
                    <a:ln w="9525">
                      <a:noFill/>
                      <a:miter lim="800000"/>
                      <a:headEnd/>
                      <a:tailEnd/>
                    </a:ln>
                  </pic:spPr>
                </pic:pic>
              </a:graphicData>
            </a:graphic>
          </wp:inline>
        </w:drawing>
      </w:r>
    </w:p>
    <w:p w:rsidR="000502D6" w:rsidRDefault="000502D6" w:rsidP="000502D6"/>
    <w:p w:rsidR="000502D6" w:rsidRDefault="000502D6" w:rsidP="000502D6">
      <w:r w:rsidRPr="0096573F">
        <w:rPr>
          <w:noProof/>
        </w:rPr>
        <w:drawing>
          <wp:inline distT="0" distB="0" distL="0" distR="0">
            <wp:extent cx="5429250" cy="2453640"/>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l="23230" t="25412" r="28896" b="11765"/>
                    <a:stretch>
                      <a:fillRect/>
                    </a:stretch>
                  </pic:blipFill>
                  <pic:spPr bwMode="auto">
                    <a:xfrm>
                      <a:off x="0" y="0"/>
                      <a:ext cx="5429250" cy="2453640"/>
                    </a:xfrm>
                    <a:prstGeom prst="rect">
                      <a:avLst/>
                    </a:prstGeom>
                    <a:noFill/>
                    <a:ln w="9525">
                      <a:noFill/>
                      <a:miter lim="800000"/>
                      <a:headEnd/>
                      <a:tailEnd/>
                    </a:ln>
                  </pic:spPr>
                </pic:pic>
              </a:graphicData>
            </a:graphic>
          </wp:inline>
        </w:drawing>
      </w:r>
    </w:p>
    <w:p w:rsidR="000502D6" w:rsidRDefault="000502D6" w:rsidP="000502D6"/>
    <w:p w:rsidR="000502D6" w:rsidRDefault="000502D6" w:rsidP="000502D6">
      <w:r w:rsidRPr="0096573F">
        <w:rPr>
          <w:noProof/>
        </w:rPr>
        <w:drawing>
          <wp:inline distT="0" distB="0" distL="0" distR="0">
            <wp:extent cx="5482590" cy="2567940"/>
            <wp:effectExtent l="19050" t="0" r="3810" b="0"/>
            <wp:docPr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23097" t="24941" r="30840" b="11657"/>
                    <a:stretch>
                      <a:fillRect/>
                    </a:stretch>
                  </pic:blipFill>
                  <pic:spPr bwMode="auto">
                    <a:xfrm>
                      <a:off x="0" y="0"/>
                      <a:ext cx="5491928" cy="2572314"/>
                    </a:xfrm>
                    <a:prstGeom prst="rect">
                      <a:avLst/>
                    </a:prstGeom>
                    <a:noFill/>
                    <a:ln w="9525">
                      <a:noFill/>
                      <a:miter lim="800000"/>
                      <a:headEnd/>
                      <a:tailEnd/>
                    </a:ln>
                  </pic:spPr>
                </pic:pic>
              </a:graphicData>
            </a:graphic>
          </wp:inline>
        </w:drawing>
      </w:r>
    </w:p>
    <w:p w:rsidR="006D1ABB" w:rsidRDefault="006D1ABB" w:rsidP="006D1ABB">
      <w:pPr>
        <w:spacing w:before="120" w:line="276" w:lineRule="auto"/>
        <w:jc w:val="both"/>
      </w:pPr>
    </w:p>
    <w:p w:rsidR="006D1ABB" w:rsidRDefault="006D1ABB">
      <w:r>
        <w:br w:type="page"/>
      </w:r>
    </w:p>
    <w:p w:rsidR="006D1ABB" w:rsidRDefault="006D1ABB" w:rsidP="006D1ABB">
      <w:pPr>
        <w:spacing w:before="120" w:line="276" w:lineRule="auto"/>
        <w:jc w:val="both"/>
      </w:pPr>
      <w:r>
        <w:lastRenderedPageBreak/>
        <w:t>Il s'avère ainsi que le Cameroun pourra</w:t>
      </w:r>
      <w:r w:rsidR="00E103E5">
        <w:t>it</w:t>
      </w:r>
      <w:r w:rsidR="00A52D00">
        <w:t xml:space="preserve"> engranger les prémices </w:t>
      </w:r>
      <w:r>
        <w:t>du dividende démographique dès les années 2020 pour son émergence e</w:t>
      </w:r>
      <w:r w:rsidR="008A4B7A">
        <w:t xml:space="preserve">n 2035, à condition d'investir </w:t>
      </w:r>
      <w:r>
        <w:t xml:space="preserve">dans la diversification de </w:t>
      </w:r>
      <w:r w:rsidR="00526AA3">
        <w:t>l’</w:t>
      </w:r>
      <w:r>
        <w:t>économie, l'éducation, la santé</w:t>
      </w:r>
      <w:r w:rsidR="00526AA3">
        <w:t>, ainsi que dans</w:t>
      </w:r>
      <w:r>
        <w:t xml:space="preserve"> le renforcement de la bonne gouvernance</w:t>
      </w:r>
      <w:r w:rsidR="00526AA3">
        <w:t>,</w:t>
      </w:r>
      <w:r w:rsidR="002B6037">
        <w:t xml:space="preserve"> </w:t>
      </w:r>
      <w:r w:rsidR="008A4B7A">
        <w:t xml:space="preserve">dès à présent où le pays </w:t>
      </w:r>
      <w:r w:rsidR="00526AA3">
        <w:t>amorce sa transition démographique (</w:t>
      </w:r>
      <w:r w:rsidR="00104FB7">
        <w:t xml:space="preserve">figure </w:t>
      </w:r>
      <w:r w:rsidR="00937003">
        <w:t>8</w:t>
      </w:r>
      <w:r w:rsidR="00526AA3">
        <w:t>)</w:t>
      </w:r>
      <w:r>
        <w:t>.</w:t>
      </w:r>
    </w:p>
    <w:p w:rsidR="00554975" w:rsidRDefault="006D1ABB" w:rsidP="006D1ABB">
      <w:pPr>
        <w:spacing w:before="120" w:line="276" w:lineRule="auto"/>
        <w:jc w:val="both"/>
      </w:pPr>
      <w:r>
        <w:t>Si ces orientation</w:t>
      </w:r>
      <w:r w:rsidR="00E103E5">
        <w:t>s</w:t>
      </w:r>
      <w:r>
        <w:t xml:space="preserve"> stratégiques sont mises en place, le modèle conduirait à une croissance plus modérée de la population totale dont l'effectif se situerait autour 51</w:t>
      </w:r>
      <w:r w:rsidR="00104FB7">
        <w:t> </w:t>
      </w:r>
      <w:r>
        <w:t>000</w:t>
      </w:r>
      <w:r w:rsidR="00104FB7">
        <w:t> </w:t>
      </w:r>
      <w:r>
        <w:t xml:space="preserve">000 d'habitants, </w:t>
      </w:r>
      <w:r w:rsidRPr="00EC2E68">
        <w:t xml:space="preserve">soit au moins 10 millions d’habitants de moins que </w:t>
      </w:r>
      <w:r>
        <w:t>le modèle économique (61</w:t>
      </w:r>
      <w:r w:rsidR="00131A44">
        <w:t> </w:t>
      </w:r>
      <w:r>
        <w:t>000</w:t>
      </w:r>
      <w:r w:rsidR="00131A44">
        <w:t> </w:t>
      </w:r>
      <w:r>
        <w:t xml:space="preserve">000 d'habitants), avec un taux de croissance annuelle d'environ 2,2%. Cet effectif serait de </w:t>
      </w:r>
      <w:r w:rsidRPr="00EC2E68">
        <w:t>37 000 000 d’habitants</w:t>
      </w:r>
      <w:r>
        <w:t xml:space="preserve"> en 2035. </w:t>
      </w:r>
      <w:r w:rsidR="00580E86">
        <w:rPr>
          <w:lang w:val="fr-CA"/>
        </w:rPr>
        <w:t>Le modèle</w:t>
      </w:r>
      <w:r w:rsidR="00546CC4">
        <w:rPr>
          <w:lang w:val="fr-CA"/>
        </w:rPr>
        <w:t xml:space="preserve"> de l’</w:t>
      </w:r>
      <w:r w:rsidR="00580E86">
        <w:rPr>
          <w:lang w:val="fr-CA"/>
        </w:rPr>
        <w:t>émergence (modèle</w:t>
      </w:r>
      <w:r w:rsidR="00546CC4">
        <w:rPr>
          <w:lang w:val="fr-CA"/>
        </w:rPr>
        <w:t xml:space="preserve"> 3</w:t>
      </w:r>
      <w:r w:rsidR="00580E86">
        <w:rPr>
          <w:lang w:val="fr-CA"/>
        </w:rPr>
        <w:t xml:space="preserve">) montre aussi que si toutes les conditions sont réunies pour la transformation du bonus démographique issu de la transition démographique annoncée précédemment </w:t>
      </w:r>
      <w:r w:rsidR="00A23A3D">
        <w:rPr>
          <w:lang w:val="fr-CA"/>
        </w:rPr>
        <w:t>la fécondité suivrait la baisse de la mortalité déjà entamée depuis longtemps. L</w:t>
      </w:r>
      <w:r w:rsidR="00A23A3D" w:rsidRPr="008C3877">
        <w:t>e nombre moyen d’enfants</w:t>
      </w:r>
      <w:r w:rsidR="00A23A3D">
        <w:t xml:space="preserve"> nés vivants</w:t>
      </w:r>
      <w:r w:rsidR="00A23A3D" w:rsidRPr="008C3877">
        <w:t xml:space="preserve"> par femme </w:t>
      </w:r>
      <w:r w:rsidR="00A23A3D">
        <w:t xml:space="preserve">se situerait ainsi autour </w:t>
      </w:r>
      <w:r w:rsidR="008A291D">
        <w:t xml:space="preserve">de </w:t>
      </w:r>
      <w:r w:rsidR="00A23A3D">
        <w:t xml:space="preserve">2,81 en 2050 contre </w:t>
      </w:r>
      <w:r w:rsidR="00A23A3D" w:rsidRPr="008C3877">
        <w:t>4,90</w:t>
      </w:r>
      <w:r w:rsidR="00A23A3D">
        <w:t xml:space="preserve"> en 2010. Il serait de 3,53 enfants nés vivants en moyenne par femme en 2035. </w:t>
      </w:r>
    </w:p>
    <w:p w:rsidR="000D6E01" w:rsidRDefault="00554975" w:rsidP="000D6E01">
      <w:pPr>
        <w:spacing w:before="120" w:line="276" w:lineRule="auto"/>
        <w:jc w:val="both"/>
      </w:pPr>
      <w:r>
        <w:t xml:space="preserve">On note enfin, à la lumière de </w:t>
      </w:r>
      <w:r w:rsidRPr="008C3877">
        <w:t>l’expérience des pays d’Asie de l’Est</w:t>
      </w:r>
      <w:r>
        <w:t>,</w:t>
      </w:r>
      <w:r w:rsidRPr="008C3877">
        <w:t xml:space="preserve"> l’importance de trois grands facteurs dont la qualité du capital humain (éducation et santé), la capacité du pays à générer un nombre important d’emplois et à accroître la productivité du travail et des salaires, et le rôle de l’épargne et des investissements </w:t>
      </w:r>
      <w:r w:rsidR="001B585D" w:rsidRPr="008C3877">
        <w:fldChar w:fldCharType="begin"/>
      </w:r>
      <w:r w:rsidRPr="008C3877">
        <w:instrText xml:space="preserve"> ADDIN EN.CITE &lt;EndNote&gt;&lt;Cite&gt;&lt;Author&gt;Cai&lt;/Author&gt;&lt;Year&gt;2010&lt;/Year&gt;&lt;RecNum&gt;1690&lt;/RecNum&gt;&lt;DisplayText&gt;(Cai, 2010)&lt;/DisplayText&gt;&lt;record&gt;&lt;rec-number&gt;1690&lt;/rec-number&gt;&lt;foreign-keys&gt;&lt;key app="EN" db-id="rp90rxe0lfwt04ewwrups2vqpf2xffxfw022" timestamp="1479467870"&gt;1690&lt;/key&gt;&lt;/foreign-keys&gt;&lt;ref-type name="Journal Article"&gt;17&lt;/ref-type&gt;&lt;contributors&gt;&lt;authors&gt;&lt;author&gt;Cai, Fang&lt;/author&gt;&lt;/authors&gt;&lt;/contributors&gt;&lt;titles&gt;&lt;title&gt;Demographic transition, demographic dividend, and Lewis turning point in China&lt;/title&gt;&lt;secondary-title&gt;China Economic Journal&lt;/secondary-title&gt;&lt;/titles&gt;&lt;periodical&gt;&lt;full-title&gt;China Economic Journal&lt;/full-title&gt;&lt;/periodical&gt;&lt;pages&gt;107-119&lt;/pages&gt;&lt;volume&gt;3&lt;/volume&gt;&lt;number&gt;2&lt;/number&gt;&lt;dates&gt;&lt;year&gt;2010&lt;/year&gt;&lt;/dates&gt;&lt;isbn&gt;1753-8963&lt;/isbn&gt;&lt;urls&gt;&lt;/urls&gt;&lt;/record&gt;&lt;/Cite&gt;&lt;/EndNote&gt;</w:instrText>
      </w:r>
      <w:r w:rsidR="001B585D" w:rsidRPr="008C3877">
        <w:fldChar w:fldCharType="separate"/>
      </w:r>
      <w:r w:rsidRPr="008C3877">
        <w:rPr>
          <w:noProof/>
        </w:rPr>
        <w:t>(</w:t>
      </w:r>
      <w:hyperlink w:anchor="_ENREF_9" w:tooltip="Cai, 2010 #1690" w:history="1">
        <w:r w:rsidRPr="008C3877">
          <w:rPr>
            <w:noProof/>
          </w:rPr>
          <w:t>Cai, 2010</w:t>
        </w:r>
      </w:hyperlink>
      <w:r w:rsidRPr="008C3877">
        <w:rPr>
          <w:noProof/>
        </w:rPr>
        <w:t>)</w:t>
      </w:r>
      <w:r w:rsidR="001B585D" w:rsidRPr="008C3877">
        <w:fldChar w:fldCharType="end"/>
      </w:r>
      <w:r>
        <w:t xml:space="preserve">, dans </w:t>
      </w:r>
      <w:r w:rsidR="00E103E5">
        <w:t xml:space="preserve">le </w:t>
      </w:r>
      <w:r>
        <w:t>processus d'un dividende démographique</w:t>
      </w:r>
      <w:r w:rsidRPr="008C3877">
        <w:t>.</w:t>
      </w:r>
    </w:p>
    <w:p w:rsidR="000D6E01" w:rsidRPr="005643FE" w:rsidRDefault="000D6E01" w:rsidP="00031E04">
      <w:pPr>
        <w:pStyle w:val="Paragraphedeliste"/>
        <w:numPr>
          <w:ilvl w:val="0"/>
          <w:numId w:val="104"/>
        </w:numPr>
        <w:spacing w:before="120" w:line="276" w:lineRule="auto"/>
        <w:ind w:left="1134" w:hanging="774"/>
        <w:jc w:val="both"/>
        <w:outlineLvl w:val="1"/>
        <w:rPr>
          <w:u w:val="single"/>
        </w:rPr>
      </w:pPr>
      <w:bookmarkStart w:id="50" w:name="_Toc479009926"/>
      <w:r w:rsidRPr="005643FE">
        <w:rPr>
          <w:u w:val="single"/>
        </w:rPr>
        <w:t>Gains en matière de santé</w:t>
      </w:r>
      <w:bookmarkEnd w:id="50"/>
    </w:p>
    <w:p w:rsidR="002B6FAB" w:rsidRDefault="00512238" w:rsidP="00E67052">
      <w:pPr>
        <w:spacing w:before="120" w:line="276" w:lineRule="auto"/>
        <w:jc w:val="both"/>
      </w:pPr>
      <w:r>
        <w:t>Parmi les bénéfices attendus du dividende démographique</w:t>
      </w:r>
      <w:r w:rsidR="008A4B7A">
        <w:t>,</w:t>
      </w:r>
      <w:r>
        <w:t xml:space="preserve"> on observe un gain substantiel en vie des enfants et des femmes ainsi qu'un allongement de l'espérance de vie à la naissance. Sous l'effet combiné de l'économie, de l'éducation et de la santé (modèle 3), le nombre de décès évités cumulés au cours des 40 ans de </w:t>
      </w:r>
      <w:r w:rsidR="00E103E5">
        <w:t xml:space="preserve">projection </w:t>
      </w:r>
      <w:r>
        <w:t>(de 2010 à 2050) varie</w:t>
      </w:r>
      <w:r w:rsidR="00E103E5">
        <w:t>rait</w:t>
      </w:r>
      <w:r>
        <w:t xml:space="preserve"> de 0 à 181</w:t>
      </w:r>
      <w:r w:rsidR="00131A44">
        <w:t> </w:t>
      </w:r>
      <w:r>
        <w:t>442 pour ce qui est des décès maternels et de 989 à 1</w:t>
      </w:r>
      <w:r w:rsidR="00131A44">
        <w:t> </w:t>
      </w:r>
      <w:r>
        <w:t>651</w:t>
      </w:r>
      <w:r w:rsidR="00131A44">
        <w:t> </w:t>
      </w:r>
      <w:r>
        <w:t>324 pour ce qui est des décès des enfants de moins de cinq ans (</w:t>
      </w:r>
      <w:r w:rsidR="00E67052">
        <w:t>le gain en décès infantiles qui y est inclus varie</w:t>
      </w:r>
      <w:r w:rsidR="00E103E5">
        <w:t>rait</w:t>
      </w:r>
      <w:r w:rsidR="00E67052">
        <w:t xml:space="preserve"> de 706 à 1</w:t>
      </w:r>
      <w:r w:rsidR="00131A44">
        <w:t> </w:t>
      </w:r>
      <w:r w:rsidR="00E67052">
        <w:t>092</w:t>
      </w:r>
      <w:r w:rsidR="00131A44">
        <w:t> </w:t>
      </w:r>
      <w:r w:rsidR="00E67052">
        <w:t>948).</w:t>
      </w:r>
      <w:r w:rsidR="002B6FAB">
        <w:t xml:space="preserve"> Les gains moyens annuels en terme</w:t>
      </w:r>
      <w:r w:rsidR="00E103E5">
        <w:t>s</w:t>
      </w:r>
      <w:r w:rsidR="002B6FAB">
        <w:t xml:space="preserve"> de décès évités </w:t>
      </w:r>
      <w:r w:rsidR="00E103E5">
        <w:t xml:space="preserve">seraient </w:t>
      </w:r>
      <w:r w:rsidR="002B6FAB">
        <w:t>de 4</w:t>
      </w:r>
      <w:r w:rsidR="00131A44">
        <w:t> </w:t>
      </w:r>
      <w:r w:rsidR="002B6FAB">
        <w:t>536 pour les décès maternels, 27</w:t>
      </w:r>
      <w:r w:rsidR="00131A44">
        <w:t> </w:t>
      </w:r>
      <w:r w:rsidR="002B6FAB">
        <w:t>324 pour les décès infantiles et 41</w:t>
      </w:r>
      <w:r w:rsidR="00131A44">
        <w:t> </w:t>
      </w:r>
      <w:r w:rsidR="002B6FAB">
        <w:t>293 pour les décès infant</w:t>
      </w:r>
      <w:r w:rsidR="008A291D">
        <w:t>o</w:t>
      </w:r>
      <w:r w:rsidR="002B6FAB">
        <w:t>-juvéniles, sous l'hypothèse d'un taux de pratique contraceptive projeté de 45,67% en 2050</w:t>
      </w:r>
      <w:r w:rsidR="00BA058D">
        <w:t xml:space="preserve"> (tableau 3)</w:t>
      </w:r>
      <w:r w:rsidR="002B6FAB">
        <w:t>.</w:t>
      </w:r>
    </w:p>
    <w:p w:rsidR="009F3F02" w:rsidRDefault="009F3F02" w:rsidP="00E67052">
      <w:pPr>
        <w:spacing w:before="120" w:line="276" w:lineRule="auto"/>
        <w:jc w:val="both"/>
      </w:pPr>
      <w:r>
        <w:t xml:space="preserve">Le gain en espérance de vie serait, toutes choses étant égales par ailleurs, moins rapide que celui de la période de 30 ans précédente (7,44 ans contre 9,9 ans entre 1976 et 2005). Suivant le modèle 3 (économie, éducation, santé), l'espérance de vie à la naissance </w:t>
      </w:r>
      <w:r w:rsidR="00961BF2">
        <w:t xml:space="preserve">des femmes </w:t>
      </w:r>
      <w:r>
        <w:t xml:space="preserve">passerait de </w:t>
      </w:r>
      <w:r w:rsidR="00961BF2">
        <w:t>58,65 ans en 2010 à 65,09 ans en 2050, avec une valeur intermédiaire de 62,24 ans en 2035.</w:t>
      </w:r>
    </w:p>
    <w:p w:rsidR="008E776A" w:rsidRPr="000D6E01" w:rsidRDefault="00E67052" w:rsidP="00E67052">
      <w:pPr>
        <w:spacing w:before="120" w:line="276" w:lineRule="auto"/>
        <w:jc w:val="both"/>
      </w:pPr>
      <w:r>
        <w:t>Comme on peut le constater, en matière</w:t>
      </w:r>
      <w:r w:rsidR="008A291D">
        <w:t xml:space="preserve"> de santé</w:t>
      </w:r>
      <w:r>
        <w:t xml:space="preserve">, le dividende démographique profite en premier lieu à la santé infantile (enfants de moins un an) et secondairement à la santé juvénile et enfin à la santé maternelle. La régulation des naissances s'avère ainsi être un accélérateur de la santé maternelle et </w:t>
      </w:r>
      <w:r w:rsidR="002B6FAB">
        <w:t xml:space="preserve">celle </w:t>
      </w:r>
      <w:r>
        <w:t>infanto-juvénile.</w:t>
      </w:r>
      <w:r w:rsidR="008E776A" w:rsidRPr="008C3877">
        <w:rPr>
          <w:b/>
        </w:rPr>
        <w:br w:type="page"/>
      </w:r>
    </w:p>
    <w:p w:rsidR="00104FB7" w:rsidRPr="00104FB7" w:rsidRDefault="00116899" w:rsidP="00E103E5">
      <w:pPr>
        <w:pStyle w:val="Lgende"/>
        <w:spacing w:after="100"/>
        <w:rPr>
          <w:b/>
          <w:bCs/>
          <w:color w:val="auto"/>
        </w:rPr>
      </w:pPr>
      <w:bookmarkStart w:id="51" w:name="_Toc479009479"/>
      <w:r w:rsidRPr="00116899">
        <w:rPr>
          <w:b/>
        </w:rPr>
        <w:lastRenderedPageBreak/>
        <w:t xml:space="preserve">Tableau </w:t>
      </w:r>
      <w:r w:rsidR="001B585D" w:rsidRPr="00116899">
        <w:rPr>
          <w:b/>
        </w:rPr>
        <w:fldChar w:fldCharType="begin"/>
      </w:r>
      <w:r w:rsidRPr="00116899">
        <w:rPr>
          <w:b/>
        </w:rPr>
        <w:instrText xml:space="preserve"> SEQ Tableau \* ARABIC </w:instrText>
      </w:r>
      <w:r w:rsidR="001B585D" w:rsidRPr="00116899">
        <w:rPr>
          <w:b/>
        </w:rPr>
        <w:fldChar w:fldCharType="separate"/>
      </w:r>
      <w:r w:rsidRPr="00116899">
        <w:rPr>
          <w:b/>
          <w:noProof/>
        </w:rPr>
        <w:t>3</w:t>
      </w:r>
      <w:r w:rsidR="001B585D" w:rsidRPr="00116899">
        <w:rPr>
          <w:b/>
        </w:rPr>
        <w:fldChar w:fldCharType="end"/>
      </w:r>
      <w:r w:rsidR="008A4B7A">
        <w:rPr>
          <w:b/>
        </w:rPr>
        <w:t> </w:t>
      </w:r>
      <w:r w:rsidRPr="00116899">
        <w:rPr>
          <w:b/>
        </w:rPr>
        <w:t>: Décès évités des enfants et des mères selon différents scénarii.</w:t>
      </w:r>
      <w:bookmarkEnd w:id="51"/>
    </w:p>
    <w:tbl>
      <w:tblPr>
        <w:tblW w:w="5000" w:type="pct"/>
        <w:tblInd w:w="2" w:type="dxa"/>
        <w:tblCellMar>
          <w:left w:w="70" w:type="dxa"/>
          <w:right w:w="70" w:type="dxa"/>
        </w:tblCellMar>
        <w:tblLook w:val="00A0"/>
      </w:tblPr>
      <w:tblGrid>
        <w:gridCol w:w="1791"/>
        <w:gridCol w:w="3011"/>
        <w:gridCol w:w="3841"/>
      </w:tblGrid>
      <w:tr w:rsidR="009F3F02" w:rsidRPr="00FC6B42" w:rsidTr="00A16982">
        <w:trPr>
          <w:trHeight w:val="260"/>
        </w:trPr>
        <w:tc>
          <w:tcPr>
            <w:tcW w:w="1214" w:type="pct"/>
            <w:tcBorders>
              <w:top w:val="single" w:sz="4" w:space="0" w:color="auto"/>
              <w:left w:val="single" w:sz="4" w:space="0" w:color="auto"/>
              <w:bottom w:val="single" w:sz="4" w:space="0" w:color="auto"/>
              <w:right w:val="nil"/>
            </w:tcBorders>
            <w:shd w:val="clear" w:color="auto" w:fill="auto"/>
            <w:noWrap/>
            <w:vAlign w:val="center"/>
          </w:tcPr>
          <w:p w:rsidR="009F3F02" w:rsidRPr="00FC6B42" w:rsidRDefault="009F3F02" w:rsidP="00C0257C">
            <w:pPr>
              <w:jc w:val="center"/>
              <w:rPr>
                <w:b/>
                <w:bCs/>
              </w:rPr>
            </w:pPr>
            <w:r w:rsidRPr="00FC6B42">
              <w:rPr>
                <w:b/>
                <w:bCs/>
              </w:rPr>
              <w:t>Année</w:t>
            </w:r>
          </w:p>
        </w:tc>
        <w:tc>
          <w:tcPr>
            <w:tcW w:w="1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F3F02" w:rsidRPr="00FC6B42" w:rsidRDefault="00FC6B42" w:rsidP="00C0257C">
            <w:pPr>
              <w:jc w:val="center"/>
              <w:rPr>
                <w:b/>
                <w:bCs/>
              </w:rPr>
            </w:pPr>
            <w:r w:rsidRPr="00FC6B42">
              <w:rPr>
                <w:b/>
                <w:bCs/>
              </w:rPr>
              <w:t>M2</w:t>
            </w:r>
            <w:r w:rsidR="001737FA">
              <w:rPr>
                <w:b/>
                <w:bCs/>
              </w:rPr>
              <w:t> </w:t>
            </w:r>
            <w:r w:rsidRPr="00FC6B42">
              <w:rPr>
                <w:b/>
                <w:bCs/>
              </w:rPr>
              <w:t xml:space="preserve">: </w:t>
            </w:r>
            <w:r w:rsidR="00A442BA" w:rsidRPr="00FC6B42">
              <w:rPr>
                <w:b/>
                <w:bCs/>
              </w:rPr>
              <w:t>Économie</w:t>
            </w:r>
            <w:r w:rsidR="009F3F02" w:rsidRPr="00FC6B42">
              <w:rPr>
                <w:b/>
                <w:bCs/>
              </w:rPr>
              <w:t xml:space="preserve"> + </w:t>
            </w:r>
            <w:r w:rsidR="00A442BA" w:rsidRPr="00FC6B42">
              <w:rPr>
                <w:b/>
                <w:bCs/>
              </w:rPr>
              <w:t>Éducation</w:t>
            </w:r>
          </w:p>
        </w:tc>
        <w:tc>
          <w:tcPr>
            <w:tcW w:w="2124" w:type="pct"/>
            <w:tcBorders>
              <w:top w:val="single" w:sz="4" w:space="0" w:color="auto"/>
              <w:left w:val="nil"/>
              <w:bottom w:val="single" w:sz="4" w:space="0" w:color="auto"/>
              <w:right w:val="single" w:sz="4" w:space="0" w:color="auto"/>
            </w:tcBorders>
            <w:shd w:val="clear" w:color="auto" w:fill="auto"/>
            <w:noWrap/>
            <w:vAlign w:val="center"/>
          </w:tcPr>
          <w:p w:rsidR="009F3F02" w:rsidRPr="00FC6B42" w:rsidRDefault="00FC6B42" w:rsidP="00A442BA">
            <w:pPr>
              <w:jc w:val="center"/>
              <w:rPr>
                <w:b/>
                <w:bCs/>
              </w:rPr>
            </w:pPr>
            <w:r w:rsidRPr="00FC6B42">
              <w:rPr>
                <w:b/>
                <w:bCs/>
              </w:rPr>
              <w:t>M3</w:t>
            </w:r>
            <w:r w:rsidR="001737FA">
              <w:rPr>
                <w:b/>
                <w:bCs/>
              </w:rPr>
              <w:t> </w:t>
            </w:r>
            <w:r w:rsidRPr="00FC6B42">
              <w:rPr>
                <w:b/>
                <w:bCs/>
              </w:rPr>
              <w:t xml:space="preserve">: </w:t>
            </w:r>
            <w:r w:rsidR="00A442BA" w:rsidRPr="00FC6B42">
              <w:rPr>
                <w:b/>
                <w:bCs/>
              </w:rPr>
              <w:t>Économie</w:t>
            </w:r>
            <w:r w:rsidR="009F3F02" w:rsidRPr="00FC6B42">
              <w:rPr>
                <w:b/>
                <w:bCs/>
              </w:rPr>
              <w:t xml:space="preserve"> + </w:t>
            </w:r>
            <w:r w:rsidR="00A442BA" w:rsidRPr="00FC6B42">
              <w:rPr>
                <w:b/>
                <w:bCs/>
              </w:rPr>
              <w:t>Éducation</w:t>
            </w:r>
            <w:r w:rsidR="009F3F02" w:rsidRPr="00FC6B42">
              <w:rPr>
                <w:b/>
                <w:bCs/>
              </w:rPr>
              <w:t xml:space="preserve"> + </w:t>
            </w:r>
            <w:r w:rsidR="00A442BA">
              <w:rPr>
                <w:b/>
                <w:bCs/>
              </w:rPr>
              <w:t>S</w:t>
            </w:r>
            <w:r w:rsidR="00A442BA" w:rsidRPr="00FC6B42">
              <w:rPr>
                <w:b/>
                <w:bCs/>
              </w:rPr>
              <w:t>anté</w:t>
            </w:r>
          </w:p>
        </w:tc>
      </w:tr>
      <w:tr w:rsidR="009F3F02" w:rsidRPr="00FC6B42" w:rsidTr="00A16982">
        <w:trPr>
          <w:trHeight w:val="26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9F3F02" w:rsidRPr="00FC6B42" w:rsidRDefault="009F3F02" w:rsidP="00C0257C">
            <w:pPr>
              <w:rPr>
                <w:b/>
                <w:bCs/>
              </w:rPr>
            </w:pPr>
            <w:r w:rsidRPr="00FC6B42">
              <w:rPr>
                <w:b/>
                <w:bCs/>
              </w:rPr>
              <w:t>Cumul des décès infantiles évités</w:t>
            </w:r>
          </w:p>
        </w:tc>
      </w:tr>
      <w:tr w:rsidR="009F3F02" w:rsidRPr="00FC6B42" w:rsidTr="00A16982">
        <w:trPr>
          <w:trHeight w:val="260"/>
        </w:trPr>
        <w:tc>
          <w:tcPr>
            <w:tcW w:w="1214" w:type="pct"/>
            <w:tcBorders>
              <w:top w:val="nil"/>
              <w:left w:val="single" w:sz="4" w:space="0" w:color="auto"/>
              <w:bottom w:val="nil"/>
              <w:right w:val="nil"/>
            </w:tcBorders>
            <w:noWrap/>
            <w:vAlign w:val="center"/>
          </w:tcPr>
          <w:p w:rsidR="00FC6B42" w:rsidRPr="00FC6B42" w:rsidRDefault="00FC6B42" w:rsidP="00C0257C">
            <w:pPr>
              <w:jc w:val="center"/>
            </w:pPr>
            <w:r w:rsidRPr="00FC6B42">
              <w:t>2011</w:t>
            </w:r>
          </w:p>
          <w:p w:rsidR="009F3F02" w:rsidRPr="00FC6B42" w:rsidRDefault="009F3F02" w:rsidP="00C0257C">
            <w:pPr>
              <w:jc w:val="center"/>
            </w:pPr>
            <w:r w:rsidRPr="00FC6B42">
              <w:t>2035</w:t>
            </w:r>
          </w:p>
        </w:tc>
        <w:tc>
          <w:tcPr>
            <w:tcW w:w="1662" w:type="pct"/>
            <w:tcBorders>
              <w:top w:val="nil"/>
              <w:left w:val="single" w:sz="4" w:space="0" w:color="auto"/>
              <w:bottom w:val="nil"/>
              <w:right w:val="single" w:sz="4" w:space="0" w:color="auto"/>
            </w:tcBorders>
            <w:noWrap/>
            <w:vAlign w:val="center"/>
          </w:tcPr>
          <w:p w:rsidR="00FC6B42" w:rsidRPr="00FC6B42" w:rsidRDefault="00FC6B42" w:rsidP="00C0257C">
            <w:pPr>
              <w:jc w:val="center"/>
            </w:pPr>
            <w:r w:rsidRPr="00FC6B42">
              <w:t xml:space="preserve">       286</w:t>
            </w:r>
          </w:p>
          <w:p w:rsidR="009F3F02" w:rsidRPr="00FC6B42" w:rsidRDefault="009F3F02" w:rsidP="00C0257C">
            <w:pPr>
              <w:jc w:val="center"/>
            </w:pPr>
            <w:r w:rsidRPr="00FC6B42">
              <w:t>138 989</w:t>
            </w:r>
          </w:p>
        </w:tc>
        <w:tc>
          <w:tcPr>
            <w:tcW w:w="2124" w:type="pct"/>
            <w:tcBorders>
              <w:top w:val="nil"/>
              <w:left w:val="nil"/>
              <w:bottom w:val="nil"/>
              <w:right w:val="single" w:sz="4" w:space="0" w:color="auto"/>
            </w:tcBorders>
            <w:noWrap/>
            <w:vAlign w:val="center"/>
          </w:tcPr>
          <w:p w:rsidR="00FC6B42" w:rsidRPr="00FC6B42" w:rsidRDefault="00FC6B42" w:rsidP="00C0257C">
            <w:pPr>
              <w:jc w:val="center"/>
            </w:pPr>
            <w:r w:rsidRPr="00FC6B42">
              <w:t xml:space="preserve">         706</w:t>
            </w:r>
          </w:p>
          <w:p w:rsidR="009F3F02" w:rsidRPr="00FC6B42" w:rsidRDefault="009F3F02" w:rsidP="00C0257C">
            <w:pPr>
              <w:jc w:val="center"/>
            </w:pPr>
            <w:r w:rsidRPr="00FC6B42">
              <w:t>323 848</w:t>
            </w:r>
          </w:p>
        </w:tc>
      </w:tr>
      <w:tr w:rsidR="009F3F02" w:rsidRPr="00FC6B42" w:rsidTr="00A16982">
        <w:trPr>
          <w:trHeight w:val="260"/>
        </w:trPr>
        <w:tc>
          <w:tcPr>
            <w:tcW w:w="1214" w:type="pct"/>
            <w:tcBorders>
              <w:top w:val="nil"/>
              <w:left w:val="single" w:sz="4" w:space="0" w:color="auto"/>
              <w:bottom w:val="single" w:sz="4" w:space="0" w:color="auto"/>
              <w:right w:val="nil"/>
            </w:tcBorders>
            <w:noWrap/>
            <w:vAlign w:val="center"/>
          </w:tcPr>
          <w:p w:rsidR="009F3F02" w:rsidRPr="00FC6B42" w:rsidRDefault="009F3F02" w:rsidP="00C0257C">
            <w:pPr>
              <w:jc w:val="center"/>
            </w:pPr>
            <w:r w:rsidRPr="00FC6B42">
              <w:t>2050</w:t>
            </w:r>
          </w:p>
        </w:tc>
        <w:tc>
          <w:tcPr>
            <w:tcW w:w="1662" w:type="pct"/>
            <w:tcBorders>
              <w:top w:val="nil"/>
              <w:left w:val="single" w:sz="4" w:space="0" w:color="auto"/>
              <w:bottom w:val="single" w:sz="4" w:space="0" w:color="auto"/>
              <w:right w:val="single" w:sz="4" w:space="0" w:color="auto"/>
            </w:tcBorders>
            <w:noWrap/>
            <w:vAlign w:val="center"/>
          </w:tcPr>
          <w:p w:rsidR="009F3F02" w:rsidRPr="00FC6B42" w:rsidRDefault="009F3F02" w:rsidP="00C0257C">
            <w:pPr>
              <w:jc w:val="center"/>
            </w:pPr>
            <w:r w:rsidRPr="00FC6B42">
              <w:t>513 611</w:t>
            </w:r>
          </w:p>
        </w:tc>
        <w:tc>
          <w:tcPr>
            <w:tcW w:w="2124" w:type="pct"/>
            <w:tcBorders>
              <w:top w:val="nil"/>
              <w:left w:val="nil"/>
              <w:bottom w:val="single" w:sz="4" w:space="0" w:color="auto"/>
              <w:right w:val="single" w:sz="4" w:space="0" w:color="auto"/>
            </w:tcBorders>
            <w:noWrap/>
            <w:vAlign w:val="center"/>
          </w:tcPr>
          <w:p w:rsidR="009F3F02" w:rsidRPr="00FC6B42" w:rsidRDefault="009F3F02" w:rsidP="00C0257C">
            <w:pPr>
              <w:jc w:val="center"/>
            </w:pPr>
            <w:r w:rsidRPr="00FC6B42">
              <w:t>1 092 948</w:t>
            </w:r>
          </w:p>
        </w:tc>
      </w:tr>
      <w:tr w:rsidR="009F3F02" w:rsidRPr="00FC6B42" w:rsidTr="00A16982">
        <w:trPr>
          <w:trHeight w:val="26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9F3F02" w:rsidRPr="00FC6B42" w:rsidRDefault="009F3F02" w:rsidP="00C0257C">
            <w:pPr>
              <w:rPr>
                <w:b/>
                <w:bCs/>
              </w:rPr>
            </w:pPr>
            <w:r w:rsidRPr="00FC6B42">
              <w:rPr>
                <w:b/>
                <w:bCs/>
              </w:rPr>
              <w:t>Cumul des décès infanto-juvéniles évités</w:t>
            </w:r>
          </w:p>
        </w:tc>
      </w:tr>
      <w:tr w:rsidR="009F3F02" w:rsidRPr="00FC6B42" w:rsidTr="00A16982">
        <w:trPr>
          <w:trHeight w:val="260"/>
        </w:trPr>
        <w:tc>
          <w:tcPr>
            <w:tcW w:w="1214" w:type="pct"/>
            <w:tcBorders>
              <w:top w:val="nil"/>
              <w:left w:val="single" w:sz="4" w:space="0" w:color="auto"/>
              <w:bottom w:val="nil"/>
              <w:right w:val="nil"/>
            </w:tcBorders>
            <w:noWrap/>
            <w:vAlign w:val="center"/>
          </w:tcPr>
          <w:p w:rsidR="00FC6B42" w:rsidRPr="00FC6B42" w:rsidRDefault="00FC6B42" w:rsidP="00C0257C">
            <w:pPr>
              <w:jc w:val="center"/>
            </w:pPr>
            <w:r w:rsidRPr="00FC6B42">
              <w:t>2011</w:t>
            </w:r>
          </w:p>
          <w:p w:rsidR="009F3F02" w:rsidRPr="00FC6B42" w:rsidRDefault="009F3F02" w:rsidP="00C0257C">
            <w:pPr>
              <w:jc w:val="center"/>
            </w:pPr>
            <w:r w:rsidRPr="00FC6B42">
              <w:t>2035</w:t>
            </w:r>
          </w:p>
        </w:tc>
        <w:tc>
          <w:tcPr>
            <w:tcW w:w="1662" w:type="pct"/>
            <w:tcBorders>
              <w:top w:val="nil"/>
              <w:left w:val="single" w:sz="4" w:space="0" w:color="auto"/>
              <w:bottom w:val="nil"/>
              <w:right w:val="single" w:sz="4" w:space="0" w:color="auto"/>
            </w:tcBorders>
            <w:noWrap/>
            <w:vAlign w:val="center"/>
          </w:tcPr>
          <w:p w:rsidR="00FC6B42" w:rsidRPr="00FC6B42" w:rsidRDefault="00FC6B42" w:rsidP="00C0257C">
            <w:pPr>
              <w:jc w:val="center"/>
            </w:pPr>
            <w:r w:rsidRPr="00FC6B42">
              <w:t xml:space="preserve">       401</w:t>
            </w:r>
          </w:p>
          <w:p w:rsidR="009F3F02" w:rsidRPr="00FC6B42" w:rsidRDefault="009F3F02" w:rsidP="00C0257C">
            <w:pPr>
              <w:jc w:val="center"/>
            </w:pPr>
            <w:r w:rsidRPr="00FC6B42">
              <w:t>216 667</w:t>
            </w:r>
          </w:p>
        </w:tc>
        <w:tc>
          <w:tcPr>
            <w:tcW w:w="2124" w:type="pct"/>
            <w:tcBorders>
              <w:top w:val="nil"/>
              <w:left w:val="nil"/>
              <w:bottom w:val="nil"/>
              <w:right w:val="single" w:sz="4" w:space="0" w:color="auto"/>
            </w:tcBorders>
            <w:noWrap/>
            <w:vAlign w:val="center"/>
          </w:tcPr>
          <w:p w:rsidR="00FC6B42" w:rsidRPr="00FC6B42" w:rsidRDefault="00FC6B42" w:rsidP="00C0257C">
            <w:pPr>
              <w:jc w:val="center"/>
            </w:pPr>
            <w:r w:rsidRPr="00FC6B42">
              <w:t xml:space="preserve">      989</w:t>
            </w:r>
          </w:p>
          <w:p w:rsidR="009F3F02" w:rsidRPr="00FC6B42" w:rsidRDefault="009F3F02" w:rsidP="00C0257C">
            <w:pPr>
              <w:jc w:val="center"/>
            </w:pPr>
            <w:r w:rsidRPr="00FC6B42">
              <w:t>498 065</w:t>
            </w:r>
          </w:p>
        </w:tc>
      </w:tr>
      <w:tr w:rsidR="009F3F02" w:rsidRPr="00FC6B42" w:rsidTr="00A16982">
        <w:trPr>
          <w:trHeight w:val="260"/>
        </w:trPr>
        <w:tc>
          <w:tcPr>
            <w:tcW w:w="1214" w:type="pct"/>
            <w:tcBorders>
              <w:top w:val="nil"/>
              <w:left w:val="single" w:sz="4" w:space="0" w:color="auto"/>
              <w:bottom w:val="single" w:sz="4" w:space="0" w:color="auto"/>
              <w:right w:val="nil"/>
            </w:tcBorders>
            <w:noWrap/>
            <w:vAlign w:val="center"/>
          </w:tcPr>
          <w:p w:rsidR="009F3F02" w:rsidRPr="00FC6B42" w:rsidRDefault="009F3F02" w:rsidP="00C0257C">
            <w:pPr>
              <w:jc w:val="center"/>
            </w:pPr>
            <w:r w:rsidRPr="00FC6B42">
              <w:t>2050</w:t>
            </w:r>
          </w:p>
        </w:tc>
        <w:tc>
          <w:tcPr>
            <w:tcW w:w="1662" w:type="pct"/>
            <w:tcBorders>
              <w:top w:val="nil"/>
              <w:left w:val="single" w:sz="4" w:space="0" w:color="auto"/>
              <w:bottom w:val="single" w:sz="4" w:space="0" w:color="auto"/>
              <w:right w:val="single" w:sz="4" w:space="0" w:color="auto"/>
            </w:tcBorders>
            <w:noWrap/>
            <w:vAlign w:val="center"/>
          </w:tcPr>
          <w:p w:rsidR="009F3F02" w:rsidRPr="00FC6B42" w:rsidRDefault="009F3F02" w:rsidP="00C0257C">
            <w:pPr>
              <w:jc w:val="center"/>
            </w:pPr>
            <w:r w:rsidRPr="00FC6B42">
              <w:t>779 097</w:t>
            </w:r>
          </w:p>
        </w:tc>
        <w:tc>
          <w:tcPr>
            <w:tcW w:w="2124" w:type="pct"/>
            <w:tcBorders>
              <w:top w:val="nil"/>
              <w:left w:val="nil"/>
              <w:bottom w:val="single" w:sz="4" w:space="0" w:color="auto"/>
              <w:right w:val="single" w:sz="4" w:space="0" w:color="auto"/>
            </w:tcBorders>
            <w:noWrap/>
            <w:vAlign w:val="center"/>
          </w:tcPr>
          <w:p w:rsidR="009F3F02" w:rsidRPr="00FC6B42" w:rsidRDefault="009F3F02" w:rsidP="00C0257C">
            <w:pPr>
              <w:jc w:val="center"/>
            </w:pPr>
            <w:r w:rsidRPr="00FC6B42">
              <w:t>1 651 724</w:t>
            </w:r>
          </w:p>
        </w:tc>
      </w:tr>
      <w:tr w:rsidR="009F3F02" w:rsidRPr="00FC6B42" w:rsidTr="00A16982">
        <w:trPr>
          <w:trHeight w:val="260"/>
        </w:trPr>
        <w:tc>
          <w:tcPr>
            <w:tcW w:w="5000" w:type="pct"/>
            <w:gridSpan w:val="3"/>
            <w:tcBorders>
              <w:top w:val="single" w:sz="4" w:space="0" w:color="auto"/>
              <w:left w:val="single" w:sz="4" w:space="0" w:color="auto"/>
              <w:bottom w:val="single" w:sz="4" w:space="0" w:color="auto"/>
              <w:right w:val="single" w:sz="4" w:space="0" w:color="auto"/>
            </w:tcBorders>
            <w:noWrap/>
            <w:vAlign w:val="center"/>
          </w:tcPr>
          <w:p w:rsidR="009F3F02" w:rsidRPr="00FC6B42" w:rsidRDefault="009F3F02" w:rsidP="00C0257C">
            <w:pPr>
              <w:rPr>
                <w:b/>
                <w:bCs/>
              </w:rPr>
            </w:pPr>
            <w:r w:rsidRPr="00FC6B42">
              <w:rPr>
                <w:b/>
                <w:bCs/>
              </w:rPr>
              <w:t>Cumul des décès maternels évités</w:t>
            </w:r>
          </w:p>
        </w:tc>
      </w:tr>
      <w:tr w:rsidR="009F3F02" w:rsidRPr="00FC6B42" w:rsidTr="00A16982">
        <w:trPr>
          <w:trHeight w:val="260"/>
        </w:trPr>
        <w:tc>
          <w:tcPr>
            <w:tcW w:w="1214" w:type="pct"/>
            <w:tcBorders>
              <w:top w:val="nil"/>
              <w:left w:val="single" w:sz="4" w:space="0" w:color="auto"/>
              <w:bottom w:val="nil"/>
              <w:right w:val="nil"/>
            </w:tcBorders>
            <w:noWrap/>
            <w:vAlign w:val="center"/>
          </w:tcPr>
          <w:p w:rsidR="00FC6B42" w:rsidRPr="00FC6B42" w:rsidRDefault="00FC6B42" w:rsidP="00C0257C">
            <w:pPr>
              <w:jc w:val="center"/>
            </w:pPr>
            <w:r w:rsidRPr="00FC6B42">
              <w:t>2011</w:t>
            </w:r>
          </w:p>
          <w:p w:rsidR="009F3F02" w:rsidRPr="00FC6B42" w:rsidRDefault="009F3F02" w:rsidP="00C0257C">
            <w:pPr>
              <w:jc w:val="center"/>
            </w:pPr>
            <w:r w:rsidRPr="00FC6B42">
              <w:t>2035</w:t>
            </w:r>
          </w:p>
        </w:tc>
        <w:tc>
          <w:tcPr>
            <w:tcW w:w="1662" w:type="pct"/>
            <w:tcBorders>
              <w:top w:val="nil"/>
              <w:left w:val="single" w:sz="4" w:space="0" w:color="auto"/>
              <w:bottom w:val="nil"/>
              <w:right w:val="single" w:sz="4" w:space="0" w:color="auto"/>
            </w:tcBorders>
            <w:noWrap/>
            <w:vAlign w:val="center"/>
          </w:tcPr>
          <w:p w:rsidR="00FC6B42" w:rsidRPr="00FC6B42" w:rsidRDefault="00FC6B42" w:rsidP="00C0257C">
            <w:pPr>
              <w:jc w:val="center"/>
            </w:pPr>
            <w:r w:rsidRPr="00FC6B42">
              <w:t>-</w:t>
            </w:r>
          </w:p>
          <w:p w:rsidR="009F3F02" w:rsidRPr="00FC6B42" w:rsidRDefault="009F3F02" w:rsidP="00C0257C">
            <w:pPr>
              <w:jc w:val="center"/>
            </w:pPr>
            <w:r w:rsidRPr="00FC6B42">
              <w:t>22 480</w:t>
            </w:r>
          </w:p>
        </w:tc>
        <w:tc>
          <w:tcPr>
            <w:tcW w:w="2124" w:type="pct"/>
            <w:tcBorders>
              <w:top w:val="nil"/>
              <w:left w:val="nil"/>
              <w:bottom w:val="nil"/>
              <w:right w:val="single" w:sz="4" w:space="0" w:color="auto"/>
            </w:tcBorders>
            <w:noWrap/>
            <w:vAlign w:val="center"/>
          </w:tcPr>
          <w:p w:rsidR="00FC6B42" w:rsidRPr="00FC6B42" w:rsidRDefault="00FC6B42" w:rsidP="00C0257C">
            <w:pPr>
              <w:jc w:val="center"/>
            </w:pPr>
            <w:r w:rsidRPr="00FC6B42">
              <w:t>-</w:t>
            </w:r>
          </w:p>
          <w:p w:rsidR="009F3F02" w:rsidRPr="00FC6B42" w:rsidRDefault="009F3F02" w:rsidP="00C0257C">
            <w:pPr>
              <w:jc w:val="center"/>
            </w:pPr>
            <w:r w:rsidRPr="00FC6B42">
              <w:t>72 820</w:t>
            </w:r>
          </w:p>
        </w:tc>
      </w:tr>
      <w:tr w:rsidR="009F3F02" w:rsidRPr="00FC6B42" w:rsidTr="00A16982">
        <w:trPr>
          <w:trHeight w:val="260"/>
        </w:trPr>
        <w:tc>
          <w:tcPr>
            <w:tcW w:w="1214" w:type="pct"/>
            <w:tcBorders>
              <w:top w:val="nil"/>
              <w:left w:val="single" w:sz="4" w:space="0" w:color="auto"/>
              <w:bottom w:val="single" w:sz="4" w:space="0" w:color="auto"/>
              <w:right w:val="nil"/>
            </w:tcBorders>
            <w:noWrap/>
            <w:vAlign w:val="center"/>
          </w:tcPr>
          <w:p w:rsidR="009F3F02" w:rsidRPr="00FC6B42" w:rsidRDefault="009F3F02" w:rsidP="00C0257C">
            <w:pPr>
              <w:jc w:val="center"/>
            </w:pPr>
            <w:r w:rsidRPr="00FC6B42">
              <w:t>2050</w:t>
            </w:r>
          </w:p>
        </w:tc>
        <w:tc>
          <w:tcPr>
            <w:tcW w:w="1662" w:type="pct"/>
            <w:tcBorders>
              <w:top w:val="nil"/>
              <w:left w:val="single" w:sz="4" w:space="0" w:color="auto"/>
              <w:bottom w:val="single" w:sz="4" w:space="0" w:color="auto"/>
              <w:right w:val="single" w:sz="4" w:space="0" w:color="auto"/>
            </w:tcBorders>
            <w:noWrap/>
            <w:vAlign w:val="center"/>
          </w:tcPr>
          <w:p w:rsidR="009F3F02" w:rsidRPr="00FC6B42" w:rsidRDefault="009F3F02" w:rsidP="00C0257C">
            <w:pPr>
              <w:jc w:val="center"/>
            </w:pPr>
            <w:r w:rsidRPr="00FC6B42">
              <w:t>77 501</w:t>
            </w:r>
          </w:p>
        </w:tc>
        <w:tc>
          <w:tcPr>
            <w:tcW w:w="2124" w:type="pct"/>
            <w:tcBorders>
              <w:top w:val="nil"/>
              <w:left w:val="nil"/>
              <w:bottom w:val="single" w:sz="4" w:space="0" w:color="auto"/>
              <w:right w:val="single" w:sz="4" w:space="0" w:color="auto"/>
            </w:tcBorders>
            <w:noWrap/>
            <w:vAlign w:val="center"/>
          </w:tcPr>
          <w:p w:rsidR="009F3F02" w:rsidRPr="00FC6B42" w:rsidRDefault="009F3F02" w:rsidP="00C0257C">
            <w:pPr>
              <w:jc w:val="center"/>
            </w:pPr>
            <w:r w:rsidRPr="00FC6B42">
              <w:t>181 442</w:t>
            </w:r>
          </w:p>
        </w:tc>
      </w:tr>
    </w:tbl>
    <w:p w:rsidR="009F3F02" w:rsidRDefault="009F3F02" w:rsidP="009F3F02">
      <w:pPr>
        <w:jc w:val="both"/>
        <w:rPr>
          <w:rFonts w:ascii="Tw Cen MT" w:hAnsi="Tw Cen MT" w:cs="Tw Cen MT"/>
        </w:rPr>
      </w:pPr>
    </w:p>
    <w:p w:rsidR="00A27947" w:rsidRPr="00054A4F" w:rsidRDefault="00131A44" w:rsidP="00031E04">
      <w:pPr>
        <w:pStyle w:val="Paragraphedeliste"/>
        <w:numPr>
          <w:ilvl w:val="0"/>
          <w:numId w:val="105"/>
        </w:numPr>
        <w:ind w:left="1134" w:hanging="774"/>
        <w:jc w:val="both"/>
        <w:outlineLvl w:val="1"/>
        <w:rPr>
          <w:b/>
        </w:rPr>
      </w:pPr>
      <w:bookmarkStart w:id="52" w:name="_Toc479009927"/>
      <w:r w:rsidRPr="00054A4F">
        <w:rPr>
          <w:b/>
        </w:rPr>
        <w:t>Évolution</w:t>
      </w:r>
      <w:r w:rsidR="00054A4F" w:rsidRPr="00054A4F">
        <w:rPr>
          <w:b/>
        </w:rPr>
        <w:t xml:space="preserve"> des variables économiques</w:t>
      </w:r>
      <w:bookmarkEnd w:id="52"/>
    </w:p>
    <w:p w:rsidR="003B3DFD" w:rsidRDefault="003B3DFD" w:rsidP="003B3DFD">
      <w:pPr>
        <w:spacing w:before="120"/>
        <w:jc w:val="both"/>
      </w:pPr>
      <w:r>
        <w:t>Seront examiné</w:t>
      </w:r>
      <w:r w:rsidR="001737FA">
        <w:t>es</w:t>
      </w:r>
      <w:r>
        <w:t xml:space="preserve"> tour à tour dans cette partie </w:t>
      </w:r>
      <w:r w:rsidR="001737FA">
        <w:t xml:space="preserve">les </w:t>
      </w:r>
      <w:r>
        <w:t>évolution</w:t>
      </w:r>
      <w:r w:rsidR="001737FA">
        <w:t>s</w:t>
      </w:r>
      <w:r>
        <w:t xml:space="preserve"> des investissements, du stock d</w:t>
      </w:r>
      <w:r w:rsidR="008A4B7A">
        <w:t>e</w:t>
      </w:r>
      <w:r w:rsidR="00E43786">
        <w:t xml:space="preserve"> capital et du PIB.</w:t>
      </w:r>
    </w:p>
    <w:p w:rsidR="00A703E6" w:rsidRDefault="00116899">
      <w:pPr>
        <w:pStyle w:val="Paragraphedeliste"/>
        <w:numPr>
          <w:ilvl w:val="0"/>
          <w:numId w:val="74"/>
        </w:numPr>
        <w:spacing w:before="120"/>
        <w:jc w:val="both"/>
        <w:rPr>
          <w:b/>
          <w:u w:val="single"/>
        </w:rPr>
      </w:pPr>
      <w:r w:rsidRPr="00116899">
        <w:rPr>
          <w:b/>
          <w:u w:val="single"/>
        </w:rPr>
        <w:t>Évolution de l'investissement</w:t>
      </w:r>
    </w:p>
    <w:p w:rsidR="00A703E6" w:rsidRDefault="00C0257C">
      <w:pPr>
        <w:pStyle w:val="Paragraphedeliste"/>
        <w:spacing w:before="120" w:line="276" w:lineRule="auto"/>
        <w:ind w:left="0"/>
        <w:jc w:val="both"/>
      </w:pPr>
      <w:r>
        <w:t xml:space="preserve">Si aucune action </w:t>
      </w:r>
      <w:r w:rsidR="001737FA">
        <w:t xml:space="preserve">visant l’amélioration dans les domaines économique, éducatif et sanitaire </w:t>
      </w:r>
      <w:r>
        <w:t xml:space="preserve">n'est entreprise </w:t>
      </w:r>
      <w:r w:rsidR="001737FA">
        <w:t xml:space="preserve">par le Gouvernement, </w:t>
      </w:r>
      <w:r w:rsidRPr="00633E85">
        <w:t>les investissements consentis bien que croissants, seraient dilués, voire annihilés par la rapide croissance de la population.</w:t>
      </w:r>
      <w:r w:rsidR="002B6037">
        <w:t xml:space="preserve"> </w:t>
      </w:r>
      <w:r w:rsidR="009C208C">
        <w:t>L</w:t>
      </w:r>
      <w:r w:rsidR="008E776A" w:rsidRPr="00633E85">
        <w:t>’investissement par tête passe</w:t>
      </w:r>
      <w:r>
        <w:t>rait</w:t>
      </w:r>
      <w:r w:rsidR="002B6037">
        <w:t xml:space="preserve"> </w:t>
      </w:r>
      <w:r w:rsidR="009C208C">
        <w:t xml:space="preserve">ainsi </w:t>
      </w:r>
      <w:r w:rsidR="008E776A" w:rsidRPr="00633E85">
        <w:t xml:space="preserve">d’un peu moins de 200 dollars US </w:t>
      </w:r>
      <w:r>
        <w:t xml:space="preserve">en 2010 </w:t>
      </w:r>
      <w:r w:rsidR="008E776A" w:rsidRPr="00633E85">
        <w:t>à environ 154,41 dollars US</w:t>
      </w:r>
      <w:r>
        <w:t xml:space="preserve"> en </w:t>
      </w:r>
      <w:r w:rsidR="009C208C">
        <w:t>2050</w:t>
      </w:r>
      <w:r w:rsidR="00937003">
        <w:t xml:space="preserve"> (figure 9)</w:t>
      </w:r>
      <w:r w:rsidR="008E776A" w:rsidRPr="00633E85">
        <w:t>.</w:t>
      </w:r>
      <w:bookmarkStart w:id="53" w:name="_Toc474830043"/>
    </w:p>
    <w:p w:rsidR="009D0363" w:rsidRDefault="009D0363">
      <w:pPr>
        <w:rPr>
          <w:color w:val="000000"/>
        </w:rPr>
      </w:pPr>
      <w:r>
        <w:br w:type="page"/>
      </w:r>
    </w:p>
    <w:p w:rsidR="00A703E6" w:rsidRDefault="00640004" w:rsidP="009D0363">
      <w:pPr>
        <w:pStyle w:val="Lgende"/>
        <w:spacing w:after="100"/>
      </w:pPr>
      <w:bookmarkStart w:id="54" w:name="_Toc479007719"/>
      <w:r>
        <w:lastRenderedPageBreak/>
        <w:t xml:space="preserve">Figure </w:t>
      </w:r>
      <w:fldSimple w:instr=" SEQ Figure \* ARABIC ">
        <w:r w:rsidR="00CE2B53">
          <w:rPr>
            <w:noProof/>
          </w:rPr>
          <w:t>9</w:t>
        </w:r>
      </w:fldSimple>
      <w:r w:rsidR="00E43786">
        <w:t> </w:t>
      </w:r>
      <w:r>
        <w:t xml:space="preserve">: </w:t>
      </w:r>
      <w:r w:rsidRPr="00A1471D">
        <w:t>Évolution de l’investissement par tête</w:t>
      </w:r>
      <w:r w:rsidR="00E43786">
        <w:t xml:space="preserve"> au Cameroun</w:t>
      </w:r>
      <w:r w:rsidRPr="00A1471D">
        <w:t>.</w:t>
      </w:r>
      <w:bookmarkEnd w:id="54"/>
      <w:r w:rsidR="00937003">
        <w:tab/>
      </w:r>
    </w:p>
    <w:bookmarkEnd w:id="53"/>
    <w:p w:rsidR="008E776A" w:rsidRPr="00DE39A3" w:rsidRDefault="00492892" w:rsidP="008E776A">
      <w:r w:rsidRPr="00492892">
        <w:rPr>
          <w:noProof/>
        </w:rPr>
        <w:drawing>
          <wp:inline distT="0" distB="0" distL="0" distR="0">
            <wp:extent cx="5556417" cy="3347049"/>
            <wp:effectExtent l="0" t="0" r="6183" b="0"/>
            <wp:docPr id="130"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96DBC" w:rsidRPr="009D0363" w:rsidRDefault="00A96DBC" w:rsidP="009D0363">
      <w:pPr>
        <w:spacing w:line="276" w:lineRule="auto"/>
        <w:jc w:val="both"/>
        <w:rPr>
          <w:rFonts w:ascii="Tw Cen MT" w:hAnsi="Tw Cen MT" w:cs="Tw Cen MT"/>
          <w:b/>
          <w:bCs/>
        </w:rPr>
      </w:pPr>
      <w:r>
        <w:t>Par contre</w:t>
      </w:r>
      <w:r w:rsidR="001737FA">
        <w:t>,</w:t>
      </w:r>
      <w:r>
        <w:t xml:space="preserve"> une intervention sur l'une des variables </w:t>
      </w:r>
      <w:r w:rsidR="001737FA">
        <w:t>(</w:t>
      </w:r>
      <w:r>
        <w:t>économie, éducation ou santé</w:t>
      </w:r>
      <w:r w:rsidR="001737FA">
        <w:t>)</w:t>
      </w:r>
      <w:r>
        <w:t xml:space="preserve"> ou leur combinaison a largement des effets positifs sur l'investissement (</w:t>
      </w:r>
      <w:r w:rsidR="00104FB7" w:rsidRPr="00104FB7">
        <w:t xml:space="preserve">figure </w:t>
      </w:r>
      <w:r w:rsidR="0016681F">
        <w:t>9</w:t>
      </w:r>
      <w:r>
        <w:t xml:space="preserve">). Comme précédemment en matière de santé, les interventions combinées à la fois dans les domaines de l'économie, de l'éducation et de la </w:t>
      </w:r>
      <w:r w:rsidR="001737FA">
        <w:t xml:space="preserve">santé </w:t>
      </w:r>
      <w:r>
        <w:t>(modèle M3) offrent les meilleur</w:t>
      </w:r>
      <w:r w:rsidR="00104FB7">
        <w:t>e</w:t>
      </w:r>
      <w:r>
        <w:t>s perspectives de développement du pays. Au cours de la période considérée (2010-2050) les résultats du modèle émergence montrent que l'investissement par habitant</w:t>
      </w:r>
      <w:r w:rsidR="00F0718F">
        <w:t xml:space="preserve"> serait multiplié par 10, passerai</w:t>
      </w:r>
      <w:r>
        <w:t xml:space="preserve">t </w:t>
      </w:r>
      <w:r w:rsidR="001737FA">
        <w:t xml:space="preserve">ainsi </w:t>
      </w:r>
      <w:r w:rsidRPr="00633E85">
        <w:t xml:space="preserve">de 178,50 dollars US </w:t>
      </w:r>
      <w:r>
        <w:t xml:space="preserve">en 2010 </w:t>
      </w:r>
      <w:r w:rsidRPr="00633E85">
        <w:t>à 1767,43 en 2050</w:t>
      </w:r>
      <w:r w:rsidR="001737FA">
        <w:t>, et</w:t>
      </w:r>
      <w:r w:rsidR="002B6037">
        <w:t xml:space="preserve"> </w:t>
      </w:r>
      <w:r w:rsidR="001737FA">
        <w:t xml:space="preserve">il </w:t>
      </w:r>
      <w:r>
        <w:t xml:space="preserve">se situerait autour </w:t>
      </w:r>
      <w:r w:rsidR="009D7A49">
        <w:t xml:space="preserve">de </w:t>
      </w:r>
      <w:r w:rsidRPr="00633E85">
        <w:t>959,98 dollars US en 2035.</w:t>
      </w:r>
    </w:p>
    <w:p w:rsidR="008E776A" w:rsidRPr="00A16982" w:rsidRDefault="001737FA" w:rsidP="00031E04">
      <w:pPr>
        <w:pStyle w:val="Paragraphedeliste"/>
        <w:numPr>
          <w:ilvl w:val="0"/>
          <w:numId w:val="106"/>
        </w:numPr>
        <w:spacing w:before="120"/>
        <w:rPr>
          <w:bCs/>
          <w:u w:val="single"/>
        </w:rPr>
      </w:pPr>
      <w:r>
        <w:rPr>
          <w:bCs/>
          <w:u w:val="single"/>
        </w:rPr>
        <w:t>Évolution du s</w:t>
      </w:r>
      <w:r w:rsidR="008E776A" w:rsidRPr="00A16982">
        <w:rPr>
          <w:bCs/>
          <w:u w:val="single"/>
        </w:rPr>
        <w:t>tock de capital</w:t>
      </w:r>
    </w:p>
    <w:p w:rsidR="008E776A" w:rsidRPr="00633E85" w:rsidRDefault="008E776A" w:rsidP="00B907F6">
      <w:pPr>
        <w:spacing w:before="120" w:line="276" w:lineRule="auto"/>
        <w:jc w:val="both"/>
      </w:pPr>
      <w:r w:rsidRPr="00633E85">
        <w:t xml:space="preserve">S’agissant du stock de capital, son évolution est quasi-semblable à celle de l’investissement par tête. Les adultes ayant des revenus élevés comparativement aux jeunes et aux personnes âgées, consomment aussi plus que ces deux autres catégories. Une augmentation de l’épargne influe positivement sur le stock du capital. </w:t>
      </w:r>
      <w:r w:rsidR="007F11FD">
        <w:t xml:space="preserve">On observe ainsi, sur la base du modèle M3, que </w:t>
      </w:r>
      <w:r w:rsidR="00A2751E">
        <w:t>la variation du stock de</w:t>
      </w:r>
      <w:r w:rsidRPr="00633E85">
        <w:t xml:space="preserve"> capital passe</w:t>
      </w:r>
      <w:r w:rsidR="007F11FD">
        <w:t>rait</w:t>
      </w:r>
      <w:r w:rsidRPr="00633E85">
        <w:t xml:space="preserve"> de 0,5 </w:t>
      </w:r>
      <w:r w:rsidR="00617C5B">
        <w:t xml:space="preserve">en 2010 </w:t>
      </w:r>
      <w:r w:rsidRPr="00633E85">
        <w:t>à environ 5,4</w:t>
      </w:r>
      <w:r w:rsidR="00274B60">
        <w:t xml:space="preserve"> en 2050.</w:t>
      </w:r>
    </w:p>
    <w:p w:rsidR="003A70F9" w:rsidRPr="007F11FD" w:rsidRDefault="00131A44" w:rsidP="00031E04">
      <w:pPr>
        <w:pStyle w:val="Paragraphedeliste"/>
        <w:numPr>
          <w:ilvl w:val="0"/>
          <w:numId w:val="107"/>
        </w:numPr>
        <w:spacing w:before="120"/>
        <w:ind w:left="714" w:hanging="357"/>
        <w:jc w:val="both"/>
        <w:rPr>
          <w:u w:val="single"/>
        </w:rPr>
      </w:pPr>
      <w:r w:rsidRPr="007F11FD">
        <w:rPr>
          <w:u w:val="single"/>
        </w:rPr>
        <w:t>Évolution</w:t>
      </w:r>
      <w:r w:rsidR="007F11FD" w:rsidRPr="007F11FD">
        <w:rPr>
          <w:u w:val="single"/>
        </w:rPr>
        <w:t xml:space="preserve"> du produit intérieur brut (</w:t>
      </w:r>
      <w:r w:rsidR="003A70F9" w:rsidRPr="007F11FD">
        <w:rPr>
          <w:u w:val="single"/>
        </w:rPr>
        <w:t>PIB</w:t>
      </w:r>
      <w:r w:rsidR="007F11FD" w:rsidRPr="007F11FD">
        <w:rPr>
          <w:u w:val="single"/>
        </w:rPr>
        <w:t>)</w:t>
      </w:r>
    </w:p>
    <w:p w:rsidR="002E3700" w:rsidRPr="00633E85" w:rsidRDefault="007F11FD" w:rsidP="005C133D">
      <w:pPr>
        <w:spacing w:before="120" w:line="276" w:lineRule="auto"/>
        <w:jc w:val="both"/>
      </w:pPr>
      <w:r>
        <w:t>A l'exception du modèle de base (M0), toute intervention sur les trois variables retenues entraînerait une augmentation sensible du PIB. Toutefois</w:t>
      </w:r>
      <w:r w:rsidR="00617C5B">
        <w:t>,</w:t>
      </w:r>
      <w:r>
        <w:t xml:space="preserve"> les différences d'évolution au cours de la période ne s</w:t>
      </w:r>
      <w:r w:rsidR="00A2751E">
        <w:t>eraient</w:t>
      </w:r>
      <w:r>
        <w:t xml:space="preserve"> pas très grandes (</w:t>
      </w:r>
      <w:r w:rsidR="003941D1">
        <w:t xml:space="preserve">figure </w:t>
      </w:r>
      <w:r w:rsidR="0016681F">
        <w:t>10</w:t>
      </w:r>
      <w:r>
        <w:t xml:space="preserve">). </w:t>
      </w:r>
      <w:r w:rsidR="005C133D">
        <w:t>Le</w:t>
      </w:r>
      <w:r w:rsidR="008E776A" w:rsidRPr="00633E85">
        <w:t xml:space="preserve"> scénario </w:t>
      </w:r>
      <w:r w:rsidR="005C133D">
        <w:t xml:space="preserve">3 </w:t>
      </w:r>
      <w:r w:rsidR="008E776A" w:rsidRPr="00633E85">
        <w:t xml:space="preserve">visant l’atteinte du dividende démographique est légèrement </w:t>
      </w:r>
      <w:r w:rsidR="005C133D">
        <w:t xml:space="preserve">plus </w:t>
      </w:r>
      <w:proofErr w:type="gramStart"/>
      <w:r w:rsidR="005C133D">
        <w:t>avantageux</w:t>
      </w:r>
      <w:proofErr w:type="gramEnd"/>
      <w:r w:rsidR="005C133D">
        <w:t xml:space="preserve"> que les deux autres. </w:t>
      </w:r>
      <w:r w:rsidR="008E776A" w:rsidRPr="00633E85">
        <w:t>A</w:t>
      </w:r>
      <w:r w:rsidR="005C133D">
        <w:t>insi, si jamais le Cameroun optait</w:t>
      </w:r>
      <w:r w:rsidR="008E776A" w:rsidRPr="00633E85">
        <w:t xml:space="preserve"> pour l’atteinte du dividende démographique</w:t>
      </w:r>
      <w:r w:rsidR="002B6037">
        <w:t xml:space="preserve"> </w:t>
      </w:r>
      <w:r w:rsidR="005C133D">
        <w:t xml:space="preserve">suivant le modèle </w:t>
      </w:r>
      <w:r w:rsidR="00617C5B">
        <w:t>de l’</w:t>
      </w:r>
      <w:r w:rsidR="005C133D">
        <w:t>émergence</w:t>
      </w:r>
      <w:r w:rsidR="008E776A" w:rsidRPr="00633E85">
        <w:t xml:space="preserve">, le PIB serait </w:t>
      </w:r>
      <w:r w:rsidR="00F0718F">
        <w:t xml:space="preserve">ainsi </w:t>
      </w:r>
      <w:r w:rsidR="008E776A" w:rsidRPr="00633E85">
        <w:t xml:space="preserve">multiplié par </w:t>
      </w:r>
      <w:r w:rsidR="005C133D">
        <w:t xml:space="preserve">presque </w:t>
      </w:r>
      <w:r w:rsidR="00617C5B">
        <w:t>3</w:t>
      </w:r>
      <w:r w:rsidR="00617C5B" w:rsidRPr="00633E85">
        <w:t>0</w:t>
      </w:r>
      <w:r w:rsidR="005C133D">
        <w:t>entre 2010 et 2050</w:t>
      </w:r>
      <w:r w:rsidR="008E776A" w:rsidRPr="00633E85">
        <w:t>, variant de 46,57 milliards de dollars US à</w:t>
      </w:r>
      <w:r w:rsidR="00E74677">
        <w:t xml:space="preserve"> près de</w:t>
      </w:r>
      <w:r w:rsidR="008E776A" w:rsidRPr="00633E85">
        <w:t xml:space="preserve"> 1 400 milliards </w:t>
      </w:r>
      <w:r w:rsidR="002E3700" w:rsidRPr="00633E85">
        <w:t xml:space="preserve">de dollars US </w:t>
      </w:r>
      <w:r w:rsidR="005C133D">
        <w:t xml:space="preserve">respectivement. Il serait </w:t>
      </w:r>
      <w:r w:rsidR="00F0718F">
        <w:t>estimé à</w:t>
      </w:r>
      <w:r w:rsidR="002E3700" w:rsidRPr="00633E85">
        <w:t xml:space="preserve"> 526,67 milliards de dollars US en 2035. </w:t>
      </w:r>
      <w:r w:rsidR="005C133D">
        <w:t xml:space="preserve">On aurait </w:t>
      </w:r>
      <w:r w:rsidR="005C133D">
        <w:lastRenderedPageBreak/>
        <w:t>ainsi</w:t>
      </w:r>
      <w:r w:rsidR="002E3700" w:rsidRPr="00633E85">
        <w:t xml:space="preserve"> un gain en 2050 de près de 200 milliards de dollars US par rapport au scénario ne privilégiant que le domaine économique, et de 1 281 milliards de dollars US par rapport au scénario de base. </w:t>
      </w:r>
      <w:r w:rsidR="009C6C92">
        <w:t xml:space="preserve">Il faut noter enfin ici la faible influence des variables de santé sur le PIB. </w:t>
      </w:r>
      <w:r w:rsidR="009E0D44">
        <w:t>On n’observe pas des différences entre les scénarii 2 et 3.</w:t>
      </w:r>
    </w:p>
    <w:p w:rsidR="003941D1" w:rsidRPr="00640004" w:rsidRDefault="00640004" w:rsidP="00274B60">
      <w:pPr>
        <w:pStyle w:val="Lgende"/>
        <w:spacing w:before="240"/>
      </w:pPr>
      <w:bookmarkStart w:id="55" w:name="_Toc474830045"/>
      <w:bookmarkStart w:id="56" w:name="_Toc479007720"/>
      <w:r>
        <w:t xml:space="preserve">Figure </w:t>
      </w:r>
      <w:fldSimple w:instr=" SEQ Figure \* ARABIC ">
        <w:r w:rsidR="00CE2B53">
          <w:rPr>
            <w:noProof/>
          </w:rPr>
          <w:t>10</w:t>
        </w:r>
      </w:fldSimple>
      <w:r>
        <w:t xml:space="preserve">: </w:t>
      </w:r>
      <w:r w:rsidRPr="005451DF">
        <w:t>Évolution du produit intérieur brut (PIB en milliards de dollars).</w:t>
      </w:r>
      <w:bookmarkEnd w:id="55"/>
      <w:bookmarkEnd w:id="56"/>
    </w:p>
    <w:p w:rsidR="00A703E6" w:rsidRDefault="004376D3" w:rsidP="00274B60">
      <w:pPr>
        <w:pStyle w:val="Lgende"/>
        <w:spacing w:before="240" w:after="0" w:afterAutospacing="0"/>
      </w:pPr>
      <w:r w:rsidRPr="004376D3">
        <w:rPr>
          <w:noProof/>
        </w:rPr>
        <w:drawing>
          <wp:inline distT="0" distB="0" distL="0" distR="0">
            <wp:extent cx="4804913" cy="2786332"/>
            <wp:effectExtent l="0" t="0" r="0" b="0"/>
            <wp:docPr id="132"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03E6" w:rsidRDefault="00A703E6"/>
    <w:p w:rsidR="00B907F6" w:rsidRPr="00B907F6" w:rsidRDefault="00E103E5" w:rsidP="00031E04">
      <w:pPr>
        <w:pStyle w:val="Paragraphedeliste"/>
        <w:numPr>
          <w:ilvl w:val="0"/>
          <w:numId w:val="108"/>
        </w:numPr>
        <w:jc w:val="both"/>
        <w:rPr>
          <w:u w:val="single"/>
        </w:rPr>
      </w:pPr>
      <w:r>
        <w:rPr>
          <w:u w:val="single"/>
        </w:rPr>
        <w:t xml:space="preserve">Évolution du </w:t>
      </w:r>
      <w:r w:rsidR="00B907F6">
        <w:rPr>
          <w:u w:val="single"/>
        </w:rPr>
        <w:t>Produit intérieur brut par habitant (</w:t>
      </w:r>
      <w:r w:rsidR="003A70F9" w:rsidRPr="00B907F6">
        <w:rPr>
          <w:u w:val="single"/>
        </w:rPr>
        <w:t>PIB/</w:t>
      </w:r>
      <w:r w:rsidR="00B907F6" w:rsidRPr="00B907F6">
        <w:rPr>
          <w:u w:val="single"/>
        </w:rPr>
        <w:t>habitant</w:t>
      </w:r>
      <w:r w:rsidR="00B907F6">
        <w:rPr>
          <w:u w:val="single"/>
        </w:rPr>
        <w:t>)</w:t>
      </w:r>
    </w:p>
    <w:p w:rsidR="008E776A" w:rsidRPr="00633E85" w:rsidRDefault="008E776A" w:rsidP="006F5047">
      <w:pPr>
        <w:spacing w:before="120" w:line="276" w:lineRule="auto"/>
        <w:jc w:val="both"/>
      </w:pPr>
      <w:r w:rsidRPr="00633E85">
        <w:t xml:space="preserve">Comme </w:t>
      </w:r>
      <w:r w:rsidR="00A442BA">
        <w:t xml:space="preserve">pour </w:t>
      </w:r>
      <w:r w:rsidRPr="00633E85">
        <w:t>la majorité de</w:t>
      </w:r>
      <w:r w:rsidR="00617C5B">
        <w:t>s</w:t>
      </w:r>
      <w:r w:rsidRPr="00633E85">
        <w:t xml:space="preserve"> pays de la région, le PIB par tête évolue de manière erratique, et ce, depuis l’aube des années 1970. D’après </w:t>
      </w:r>
      <w:r w:rsidR="00EE5135" w:rsidRPr="00633E85">
        <w:t>l</w:t>
      </w:r>
      <w:r w:rsidR="00EE5135">
        <w:t xml:space="preserve">a figure </w:t>
      </w:r>
      <w:r w:rsidR="0016681F">
        <w:t>11</w:t>
      </w:r>
      <w:r w:rsidRPr="00633E85">
        <w:t xml:space="preserve">, le scénario de base est le seul qui montre une stabilité du PIB par tête. Le Cameroun pourrait donc connaître une évolution quasi-stationnaire de son PIB par tête (scénario de base), s’il n’adopte pas des mesures idoines pour stimuler son essor socio-économique. Ainsi, son PIB par </w:t>
      </w:r>
      <w:r w:rsidR="00B5375F">
        <w:t>habitant</w:t>
      </w:r>
      <w:r w:rsidRPr="00633E85">
        <w:t xml:space="preserve"> varierait de plus de 2</w:t>
      </w:r>
      <w:r w:rsidR="008E5D7B">
        <w:t> </w:t>
      </w:r>
      <w:r w:rsidRPr="00633E85">
        <w:t>000 dollars US en 2010 à 1967 dollars US en 2050. Donc si rien n’est fait, l’avenir ne sera</w:t>
      </w:r>
      <w:r w:rsidR="00E103E5">
        <w:t>it</w:t>
      </w:r>
      <w:r w:rsidRPr="00633E85">
        <w:t xml:space="preserve"> pas radieux pour l’économie du pays car, au lieu de croître, le PIB par </w:t>
      </w:r>
      <w:r w:rsidR="00B5375F">
        <w:t>habitant</w:t>
      </w:r>
      <w:r w:rsidRPr="00633E85">
        <w:t xml:space="preserve"> chuterait plutôt.</w:t>
      </w:r>
    </w:p>
    <w:p w:rsidR="008E776A" w:rsidRDefault="009C6C92" w:rsidP="006F5047">
      <w:pPr>
        <w:spacing w:before="120" w:line="276" w:lineRule="auto"/>
        <w:jc w:val="both"/>
      </w:pPr>
      <w:r>
        <w:t>L'évolution du PIB par habitant a l</w:t>
      </w:r>
      <w:r w:rsidR="00315EF2">
        <w:t>a</w:t>
      </w:r>
      <w:r>
        <w:t xml:space="preserve"> même </w:t>
      </w:r>
      <w:r w:rsidR="00315EF2">
        <w:t>allure</w:t>
      </w:r>
      <w:r>
        <w:t xml:space="preserve"> que celle du PIB. </w:t>
      </w:r>
      <w:r w:rsidR="008E776A" w:rsidRPr="00633E85">
        <w:t>Ainsi, le produit intérieur brut sera</w:t>
      </w:r>
      <w:r w:rsidR="00F73C69">
        <w:t>it</w:t>
      </w:r>
      <w:r w:rsidR="008E776A" w:rsidRPr="00633E85">
        <w:t xml:space="preserve"> multiplié par environ 6, et variera</w:t>
      </w:r>
      <w:r w:rsidR="00F73C69">
        <w:t>it,</w:t>
      </w:r>
      <w:r w:rsidR="008E776A" w:rsidRPr="00633E85">
        <w:t xml:space="preserve"> entre 2010 et 2035</w:t>
      </w:r>
      <w:r w:rsidR="00F73C69">
        <w:t>,</w:t>
      </w:r>
      <w:r w:rsidR="008E776A" w:rsidRPr="00633E85">
        <w:t xml:space="preserve"> de 2</w:t>
      </w:r>
      <w:r w:rsidR="008E5D7B">
        <w:t> </w:t>
      </w:r>
      <w:r w:rsidR="008E776A" w:rsidRPr="00633E85">
        <w:t>400 dollars US par tête à environ 14 400 dollars</w:t>
      </w:r>
      <w:r w:rsidR="00A2751E">
        <w:t xml:space="preserve"> US</w:t>
      </w:r>
      <w:r w:rsidR="008E776A" w:rsidRPr="00633E85">
        <w:t xml:space="preserve">, et augmenterait davantage jusqu’en 2050. </w:t>
      </w:r>
      <w:r w:rsidR="00F73C69">
        <w:t>Le contrôle de l'effet de la population ici rend presque nulle l'influence des variables relatives à la santé.</w:t>
      </w:r>
    </w:p>
    <w:p w:rsidR="00274B60" w:rsidRDefault="00274B60">
      <w:pPr>
        <w:rPr>
          <w:color w:val="000000"/>
        </w:rPr>
      </w:pPr>
      <w:r>
        <w:br w:type="page"/>
      </w:r>
    </w:p>
    <w:p w:rsidR="00640004" w:rsidRPr="00633E85" w:rsidRDefault="00640004" w:rsidP="00640004">
      <w:pPr>
        <w:pStyle w:val="Lgende"/>
      </w:pPr>
      <w:bookmarkStart w:id="57" w:name="_Toc479007721"/>
      <w:r>
        <w:lastRenderedPageBreak/>
        <w:t xml:space="preserve">Figure </w:t>
      </w:r>
      <w:fldSimple w:instr=" SEQ Figure \* ARABIC ">
        <w:r w:rsidR="00CE2B53">
          <w:rPr>
            <w:noProof/>
          </w:rPr>
          <w:t>11</w:t>
        </w:r>
      </w:fldSimple>
      <w:r>
        <w:t xml:space="preserve">: </w:t>
      </w:r>
      <w:r w:rsidRPr="001F6AF8">
        <w:t>Évolution du produit intérieur brut par tête</w:t>
      </w:r>
      <w:r w:rsidR="004D7A37">
        <w:t xml:space="preserve"> au Cameroun</w:t>
      </w:r>
      <w:r w:rsidRPr="001F6AF8">
        <w:t>.</w:t>
      </w:r>
      <w:bookmarkEnd w:id="57"/>
    </w:p>
    <w:p w:rsidR="008E776A" w:rsidRDefault="00E11E03" w:rsidP="008E776A">
      <w:r w:rsidRPr="00E11E03">
        <w:rPr>
          <w:noProof/>
        </w:rPr>
        <w:drawing>
          <wp:inline distT="0" distB="0" distL="0" distR="0">
            <wp:extent cx="5296618" cy="3088257"/>
            <wp:effectExtent l="0" t="0" r="0" b="0"/>
            <wp:docPr id="133"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70F9" w:rsidRPr="00633E85" w:rsidRDefault="008E5D7B" w:rsidP="00031E04">
      <w:pPr>
        <w:pStyle w:val="Paragraphedeliste"/>
        <w:numPr>
          <w:ilvl w:val="0"/>
          <w:numId w:val="109"/>
        </w:numPr>
        <w:spacing w:before="240"/>
        <w:ind w:left="1134" w:hanging="774"/>
        <w:jc w:val="both"/>
        <w:outlineLvl w:val="1"/>
        <w:rPr>
          <w:b/>
        </w:rPr>
      </w:pPr>
      <w:bookmarkStart w:id="58" w:name="_Toc479009928"/>
      <w:r w:rsidRPr="00633E85">
        <w:rPr>
          <w:b/>
        </w:rPr>
        <w:t>É</w:t>
      </w:r>
      <w:r>
        <w:rPr>
          <w:b/>
        </w:rPr>
        <w:t>volution</w:t>
      </w:r>
      <w:r w:rsidR="006F5047">
        <w:rPr>
          <w:b/>
        </w:rPr>
        <w:t xml:space="preserve"> du coût de l'é</w:t>
      </w:r>
      <w:r w:rsidR="003A70F9" w:rsidRPr="00633E85">
        <w:rPr>
          <w:b/>
        </w:rPr>
        <w:t>ducation</w:t>
      </w:r>
      <w:bookmarkEnd w:id="58"/>
    </w:p>
    <w:p w:rsidR="008E776A" w:rsidRDefault="00A46443" w:rsidP="00A46443">
      <w:pPr>
        <w:spacing w:before="240" w:line="276" w:lineRule="auto"/>
        <w:jc w:val="both"/>
      </w:pPr>
      <w:r>
        <w:t xml:space="preserve">Cette évolution décrite </w:t>
      </w:r>
      <w:r w:rsidR="00A442BA">
        <w:t>par le</w:t>
      </w:r>
      <w:r>
        <w:t xml:space="preserve"> modèle 3 </w:t>
      </w:r>
      <w:r w:rsidR="008E776A" w:rsidRPr="00633E85">
        <w:t>de l’atteinte du dividende démographique affiche la croissance la plus lente et la plus faible du coût de l’éducation dans le primaire pour les ménages</w:t>
      </w:r>
      <w:r w:rsidR="008D3EA6">
        <w:t xml:space="preserve"> (figure </w:t>
      </w:r>
      <w:r w:rsidR="0016681F">
        <w:t>12</w:t>
      </w:r>
      <w:r w:rsidR="008D3EA6">
        <w:t>)</w:t>
      </w:r>
      <w:r w:rsidR="008E776A" w:rsidRPr="00633E85">
        <w:t xml:space="preserve">. </w:t>
      </w:r>
      <w:r>
        <w:t>Les analyses précédentes sur le PIB ont montré l'influence de l'éduction combinée à l'économie sur la croissance du PIB du pays. Par conséquent</w:t>
      </w:r>
      <w:r w:rsidR="00A442BA">
        <w:t>,</w:t>
      </w:r>
      <w:r>
        <w:t xml:space="preserve"> la</w:t>
      </w:r>
      <w:r w:rsidR="008E776A" w:rsidRPr="00633E85">
        <w:t xml:space="preserve"> quête de l’émergence ne saurait être atteinte avec un</w:t>
      </w:r>
      <w:r>
        <w:t>e population faiblement éduquée.</w:t>
      </w:r>
      <w:r w:rsidR="002B6037">
        <w:t xml:space="preserve"> </w:t>
      </w:r>
      <w:r>
        <w:t>I</w:t>
      </w:r>
      <w:r w:rsidR="008E776A" w:rsidRPr="00633E85">
        <w:t xml:space="preserve">l est </w:t>
      </w:r>
      <w:r>
        <w:t xml:space="preserve">donc </w:t>
      </w:r>
      <w:r w:rsidR="008E776A" w:rsidRPr="00633E85">
        <w:t>urgent que le Cameroun rende effectivement l’éducation primaire accessible à toute sa population. Cela passe inexorablement par la mise en application des mesures</w:t>
      </w:r>
      <w:r w:rsidR="00A442BA">
        <w:t xml:space="preserve"> visant</w:t>
      </w:r>
      <w:r w:rsidR="008E776A" w:rsidRPr="00633E85">
        <w:t xml:space="preserve"> à réduire le coût de l’éducation, notamment dans le primaire,</w:t>
      </w:r>
      <w:r w:rsidR="00A442BA">
        <w:t xml:space="preserve"> et</w:t>
      </w:r>
      <w:r w:rsidR="008E776A" w:rsidRPr="00633E85">
        <w:t xml:space="preserve"> qui constitue encore une barrière à l’éducation </w:t>
      </w:r>
      <w:r>
        <w:t xml:space="preserve">fondamentale des enfants </w:t>
      </w:r>
      <w:r w:rsidR="008E776A" w:rsidRPr="00633E85">
        <w:t>pour plusieurs ménages</w:t>
      </w:r>
      <w:r w:rsidR="00A442BA">
        <w:t xml:space="preserve"> pauvres et vulnérables.</w:t>
      </w:r>
    </w:p>
    <w:p w:rsidR="00274B60" w:rsidRDefault="00274B60">
      <w:pPr>
        <w:rPr>
          <w:color w:val="000000"/>
        </w:rPr>
      </w:pPr>
      <w:r>
        <w:br w:type="page"/>
      </w:r>
    </w:p>
    <w:p w:rsidR="008E776A" w:rsidRPr="00CE2B53" w:rsidRDefault="00CE2B53" w:rsidP="00CE2B53">
      <w:pPr>
        <w:pStyle w:val="Lgende"/>
        <w:rPr>
          <w:b/>
        </w:rPr>
      </w:pPr>
      <w:r>
        <w:lastRenderedPageBreak/>
        <w:t xml:space="preserve">Figure </w:t>
      </w:r>
      <w:fldSimple w:instr=" SEQ Figure \* ARABIC ">
        <w:r>
          <w:rPr>
            <w:noProof/>
          </w:rPr>
          <w:t>12</w:t>
        </w:r>
      </w:fldSimple>
      <w:r w:rsidR="00D273EF">
        <w:t> </w:t>
      </w:r>
      <w:r>
        <w:t xml:space="preserve">: </w:t>
      </w:r>
      <w:r w:rsidRPr="00B376C8">
        <w:t>Évolution du coût de l’éducation du cycle primaire.</w:t>
      </w:r>
    </w:p>
    <w:p w:rsidR="008E776A" w:rsidRDefault="001B585D" w:rsidP="008E776A">
      <w:r w:rsidRPr="001B585D">
        <w:rPr>
          <w:noProof/>
          <w:lang w:val="fr-CA" w:eastAsia="fr-CA"/>
        </w:rPr>
      </w:r>
      <w:r w:rsidRPr="001B585D">
        <w:rPr>
          <w:noProof/>
          <w:lang w:val="fr-CA" w:eastAsia="fr-CA"/>
        </w:rPr>
        <w:pict>
          <v:group id="Zone de dessin 125" o:spid="_x0000_s1125" editas="canvas" style="width:447.8pt;height:302.4pt;mso-position-horizontal-relative:char;mso-position-vertical-relative:line" coordsize="56871,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6" type="#_x0000_t75" style="position:absolute;width:56871;height:38404;visibility:visible">
              <v:fill o:detectmouseclick="t"/>
              <v:path o:connecttype="none"/>
            </v:shape>
            <v:rect id="Rectangle 42" o:spid="_x0000_s1127" style="position:absolute;top:1143;width:56870;height:37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43" o:spid="_x0000_s1128" style="position:absolute;left:5575;top:4826;width:48476;height:273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line id="Line 44" o:spid="_x0000_s1129" style="position:absolute;visibility:visible" from="5575,26708" to="54051,2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UXScAAAADbAAAADwAAAGRycy9kb3ducmV2LnhtbERPz2vCMBS+D/Y/hDfwNtONKaMai2wO&#10;PHixGzs/m2dTbF5KEmv0rzeHwY4f3+9llWwvRvKhc6zgZVqAIG6c7rhV8PP99fwOIkRkjb1jUnCl&#10;ANXq8WGJpXYX3tNYx1bkEA4lKjAxDqWUoTFkMUzdQJy5o/MWY4a+ldrjJYfbXr4WxVxa7Dg3GBzo&#10;w1Bzqs9WwWGnk5ml2rfXw+d8r+vN7y0WSk2e0noBIlKK/+I/91YreMvr85f8A+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F0nAAAAA2wAAAA8AAAAAAAAAAAAAAAAA&#10;oQIAAGRycy9kb3ducmV2LnhtbFBLBQYAAAAABAAEAPkAAACOAwAAAAA=&#10;" strokecolor="gray" strokeweight="0"/>
            <v:line id="Line 45" o:spid="_x0000_s1130" style="position:absolute;visibility:visible" from="5575,21228" to="54051,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my0sIAAADbAAAADwAAAGRycy9kb3ducmV2LnhtbESPQWsCMRSE7wX/Q3hCbzWrVClbo4i2&#10;4KEXt6Xn5+Z1s7h5WZKo0V/fCILHYWa+YebLZDtxIh9axwrGowIEce10y42Cn+/PlzcQISJr7ByT&#10;ggsFWC4GT3MstTvzjk5VbESGcChRgYmxL6UMtSGLYeR64uz9OW8xZukbqT2eM9x2clIUM2mx5bxg&#10;sKe1ofpQHa2C/ZdOZpoq31z2m9lOVx+/11go9TxMq3cQkVJ8hO/trVbwOob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my0sIAAADbAAAADwAAAAAAAAAAAAAA&#10;AAChAgAAZHJzL2Rvd25yZXYueG1sUEsFBgAAAAAEAAQA+QAAAJADAAAAAA==&#10;" strokecolor="gray" strokeweight="0"/>
            <v:line id="Line 46" o:spid="_x0000_s1131" style="position:absolute;visibility:visible" from="5575,15767" to="54051,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sspcIAAADbAAAADwAAAGRycy9kb3ducmV2LnhtbESPQWsCMRSE7wX/Q3hCbzWrtCKrUcQq&#10;eOjFbfH83Dw3i5uXJUk1+uubQqHHYWa+YRarZDtxJR9axwrGowIEce10y42Cr8/dywxEiMgaO8ek&#10;4E4BVsvB0wJL7W58oGsVG5EhHEpUYGLsSylDbchiGLmeOHtn5y3GLH0jtcdbhttOTopiKi22nBcM&#10;9rQxVF+qb6vg9KGTeUuVb+6n9+lBV9vjIxZKPQ/Teg4iUor/4b/2Xit4ncDvl/w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sspcIAAADbAAAADwAAAAAAAAAAAAAA&#10;AAChAgAAZHJzL2Rvd25yZXYueG1sUEsFBgAAAAAEAAQA+QAAAJADAAAAAA==&#10;" strokecolor="gray" strokeweight="0"/>
            <v:line id="Line 47" o:spid="_x0000_s1132" style="position:absolute;visibility:visible" from="5575,10287" to="54051,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eJPsMAAADbAAAADwAAAGRycy9kb3ducmV2LnhtbESPQWsCMRSE74L/ITzBm2Ztq8hqFGkr&#10;eOjFben5uXndLN28LEmq0V/fFIQeh5n5hllvk+3EmXxoHSuYTQsQxLXTLTcKPt73kyWIEJE1do5J&#10;wZUCbDfDwRpL7S58pHMVG5EhHEpUYGLsSylDbchimLqeOHtfzluMWfpGao+XDLedfCiKhbTYcl4w&#10;2NOzofq7+rEKTm86mXmqfHM9vSyOunr9vMVCqfEo7VYgIqX4H763D1rB0yP8fc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niT7DAAAA2wAAAA8AAAAAAAAAAAAA&#10;AAAAoQIAAGRycy9kb3ducmV2LnhtbFBLBQYAAAAABAAEAPkAAACRAwAAAAA=&#10;" strokecolor="gray" strokeweight="0"/>
            <v:line id="Line 48" o:spid="_x0000_s1133" style="position:absolute;visibility:visible" from="5575,4826" to="54051,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RSsIAAADbAAAADwAAAGRycy9kb3ducmV2LnhtbESPQWsCMRSE7wX/Q3hCbzVrUSlbo4ht&#10;wUMvrtLzc/O6Wdy8LEmq0V/fCILHYWa+YebLZDtxIh9axwrGowIEce10y42C/e7r5Q1EiMgaO8ek&#10;4EIBlovB0xxL7c68pVMVG5EhHEpUYGLsSylDbchiGLmeOHu/zluMWfpGao/nDLedfC2KmbTYcl4w&#10;2NPaUH2s/qyCw7dOZpoq31wOH7Otrj5/rrFQ6nmYVu8gIqX4CN/bG61gMoHbl/w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4RSsIAAADbAAAADwAAAAAAAAAAAAAA&#10;AAChAgAAZHJzL2Rvd25yZXYueG1sUEsFBgAAAAAEAAQA+QAAAJADAAAAAA==&#10;" strokecolor="gray" strokeweight="0"/>
            <v:shape id="Freeform 49" o:spid="_x0000_s1134" style="position:absolute;left:5575;top:8007;width:48476;height:24168;visibility:visible;mso-wrap-style:square;v-text-anchor:top" coordsize="7634,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2J8UA&#10;AADbAAAADwAAAGRycy9kb3ducmV2LnhtbESPQWvCQBSE74L/YXkFb7qx1CrRVaTQotBDjPbQ2yP7&#10;TEKzb9Pd1cR/7xYKHoeZ+YZZbXrTiCs5X1tWMJ0kIIgLq2suFZyO7+MFCB+QNTaWScGNPGzWw8EK&#10;U207PtA1D6WIEPYpKqhCaFMpfVGRQT+xLXH0ztYZDFG6UmqHXYSbRj4nyas0WHNcqLClt4qKn/xi&#10;FDR7Sb/u+Jmdph/5923+1ZWHLFNq9NRvlyAC9eER/m/vtIKXGfx9i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zYnxQAAANsAAAAPAAAAAAAAAAAAAAAAAJgCAABkcnMv&#10;ZG93bnJldi54bWxQSwUGAAAAAAQABAD1AAAAigMAAAAA&#10;" path="m,3806l,2537r191,-57l382,2440r191,-36l764,2372r190,-28l1145,2307r191,-38l1527,2228r191,-41l1909,2143r191,-37l2291,2065r189,-51l2671,1959r191,-62l3054,1842r191,-55l3436,1730r191,-56l3818,1617r189,-57l4198,1502r191,-59l4580,1382r191,-64l4962,1253r192,-68l5345,1116r189,-73l5725,965r191,-79l6107,804r191,-85l6489,630r191,-95l6871,438,7061,337,7252,231,7443,124,7634,r,3806l7443,3806r-191,l7061,3806r-190,l6680,3806r-191,l6298,3806r-191,l5916,3806r-191,l5534,3806r-189,l5154,3806r-192,l4771,3806r-191,l4389,3806r-191,l4007,3806r-189,l3627,3806r-191,l3245,3806r-191,l2862,3806r-191,l2480,3806r-189,l2100,3806r-191,l1718,3806r-191,l1336,3806r-191,l954,3806r-190,l573,3806r-191,l191,3806,,3806xe" fillcolor="#0f6982" stroked="f">
              <v:path arrowok="t" o:connecttype="custom" o:connectlocs="0,1610995;242570,1549400;485140,1506220;727075,1464945;969645,1414780;1212215,1360805;1454785,1311275;1696085,1243965;1939290,1169670;2181860,1098550;2424430,1026795;2665730,953770;2908300,877570;3150870,795655;3394075,708660;3635375,612775;3877945,510540;4120515,400050;4363085,278130;4605020,146685;4847590,0;4726305,2416810;4483735,2416810;4241800,2416810;3999230,2416810;3756660,2416810;3514090,2416810;3272790,2416810;3029585,2416810;2787015,2416810;2544445,2416810;2303145,2416810;2060575,2416810;1817370,2416810;1574800,2416810;1333500,2416810;1090930,2416810;848360,2416810;605790,2416810;363855,2416810;121285,2416810" o:connectangles="0,0,0,0,0,0,0,0,0,0,0,0,0,0,0,0,0,0,0,0,0,0,0,0,0,0,0,0,0,0,0,0,0,0,0,0,0,0,0,0,0"/>
            </v:shape>
            <v:shape id="Freeform 50" o:spid="_x0000_s1135" style="position:absolute;left:5575;top:8007;width:48476;height:24168;visibility:visible;mso-wrap-style:square;v-text-anchor:top" coordsize="7634,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YEtMQA&#10;AADbAAAADwAAAGRycy9kb3ducmV2LnhtbESPQWsCMRSE7wX/Q3hCbzWryCpboxShYk9F3Yu35+Z1&#10;s3TzsiTpuu2vbwTB4zAz3zCrzWBb0ZMPjWMF00kGgrhyuuFaQXl6f1mCCBFZY+uYFPxSgM169LTC&#10;QrsrH6g/xlokCIcCFZgYu0LKUBmyGCauI07el/MWY5K+ltrjNcFtK2dZlkuLDacFgx1tDVXfxx+r&#10;4NL85Yty0e7Nrrx8+PPss/e2V+p5PLy9gog0xEf43t5rBfMcb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2BLTEAAAA2wAAAA8AAAAAAAAAAAAAAAAAmAIAAGRycy9k&#10;b3ducmV2LnhtbFBLBQYAAAAABAAEAPUAAACJAwAAAAA=&#10;" path="m,3806l,2537r191,-57l382,2440r191,-36l764,2372r190,-28l1145,2307r191,-38l1527,2228r191,-41l1909,2143r191,-37l2291,2065r189,-51l2671,1959r191,-62l3054,1842r191,-55l3436,1730r191,-56l3818,1617r189,-57l4198,1502r191,-59l4580,1382r191,-64l4962,1253r192,-68l5345,1116r189,-73l5725,965r191,-79l6107,804r191,-85l6489,630r191,-95l6871,438,7061,337,7252,231,7443,124,7634,r,3806l7443,3806r-191,l7061,3806r-190,l6680,3806r-191,l6298,3806r-191,l5916,3806r-191,l5534,3806r-189,l5154,3806r-192,l4771,3806r-191,l4389,3806r-191,l4007,3806r-189,l3627,3806r-191,l3245,3806r-191,l2862,3806r-191,l2480,3806r-189,l2100,3806r-191,l1718,3806r-191,l1336,3806r-191,l954,3806r-190,l573,3806r-191,l191,3806,,3806xe" filled="f" stroked="f">
              <v:path arrowok="t" o:connecttype="custom" o:connectlocs="0,1610995;242570,1549400;485140,1506220;727075,1464945;969645,1414780;1212215,1360805;1454785,1311275;1696085,1243965;1939290,1169670;2181860,1098550;2424430,1026795;2665730,953770;2908300,877570;3150870,795655;3394075,708660;3635375,612775;3877945,510540;4120515,400050;4363085,278130;4605020,146685;4847590,0;4726305,2416810;4483735,2416810;4241800,2416810;3999230,2416810;3756660,2416810;3514090,2416810;3272790,2416810;3029585,2416810;2787015,2416810;2544445,2416810;2303145,2416810;2060575,2416810;1817370,2416810;1574800,2416810;1333500,2416810;1090930,2416810;848360,2416810;605790,2416810;363855,2416810;121285,2416810" o:connectangles="0,0,0,0,0,0,0,0,0,0,0,0,0,0,0,0,0,0,0,0,0,0,0,0,0,0,0,0,0,0,0,0,0,0,0,0,0,0,0,0,0"/>
            </v:shape>
            <v:shape id="Freeform 51" o:spid="_x0000_s1136" style="position:absolute;left:5575;top:11512;width:48476;height:20663;visibility:visible;mso-wrap-style:square;v-text-anchor:top" coordsize="7634,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zcMQA&#10;AADbAAAADwAAAGRycy9kb3ducmV2LnhtbESPQWvCQBSE74L/YXlCb2ajDVWiq4i2IN5qPXh8ZJ9J&#10;NPs2Zjcx9td3C4Ueh5n5hlmue1OJjhpXWlYwiWIQxJnVJecKTl8f4zkI55E1VpZJwZMcrFfDwRJT&#10;bR/8Sd3R5yJA2KWooPC+TqV0WUEGXWRr4uBdbGPQB9nkUjf4CHBTyWkcv0mDJYeFAmvaFpTdjq1R&#10;0Lbf93OG77tD99pvkvPhukuSq1Ivo36zAOGp9//hv/ZeK0hm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83DEAAAA2wAAAA8AAAAAAAAAAAAAAAAAmAIAAGRycy9k&#10;b3ducmV2LnhtbFBLBQYAAAAABAAEAPUAAACJAwAAAAA=&#10;" path="m,3254l,1985r191,-57l382,1888r191,-36l764,1820r190,-28l1145,1755r191,-38l1527,1679r191,-39l1909,1599r191,-31l2291,1530r189,-42l2671,1442r191,-54l3054,1344r191,-45l3436,1255r191,-43l3818,1168r189,-43l4198,1081r191,-46l4580,988r191,-49l4962,890r192,-51l5345,785r189,-54l5725,674r191,-58l6107,557r191,-61l6489,432r191,-66l6871,299r190,-69l7252,160,7443,89,7634,r,3254l7443,3254r-191,l7061,3254r-190,l6680,3254r-191,l6298,3254r-191,l5916,3254r-191,l5534,3254r-189,l5154,3254r-192,l4771,3254r-191,l4389,3254r-191,l4007,3254r-189,l3627,3254r-191,l3245,3254r-191,l2862,3254r-191,l2480,3254r-189,l2100,3254r-191,l1718,3254r-191,l1336,3254r-191,l954,3254r-190,l573,3254r-191,l191,3254,,3254xe" fillcolor="#c48726" stroked="f">
              <v:path arrowok="t" o:connecttype="custom" o:connectlocs="0,1260475;242570,1198880;485140,1155700;727075,1114425;969645,1066165;1212215,1015365;1454785,971550;1696085,915670;1939290,853440;2181860,796925;2424430,741680;2665730,686435;2908300,627380;3150870,565150;3394075,498475;3635375,427990;3877945,353695;4120515,274320;4363085,189865;4605020,101600;4847590,0;4726305,2066290;4483735,2066290;4241800,2066290;3999230,2066290;3756660,2066290;3514090,2066290;3272790,2066290;3029585,2066290;2787015,2066290;2544445,2066290;2303145,2066290;2060575,2066290;1817370,2066290;1574800,2066290;1333500,2066290;1090930,2066290;848360,2066290;605790,2066290;363855,2066290;121285,2066290" o:connectangles="0,0,0,0,0,0,0,0,0,0,0,0,0,0,0,0,0,0,0,0,0,0,0,0,0,0,0,0,0,0,0,0,0,0,0,0,0,0,0,0,0"/>
            </v:shape>
            <v:shape id="Freeform 52" o:spid="_x0000_s1137" style="position:absolute;left:5575;top:11512;width:48476;height:20663;visibility:visible;mso-wrap-style:square;v-text-anchor:top" coordsize="7634,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2OL8A&#10;AADbAAAADwAAAGRycy9kb3ducmV2LnhtbERPTYvCMBC9C/sfwix4s+mKiHSN4i4sKIigVdbj0Ixt&#10;tJmUJmr99+YgeHy87+m8s7W4UeuNYwVfSQqCuHDacKlgn/8NJiB8QNZYOyYFD/Iwn330pphpd+ct&#10;3XahFDGEfYYKqhCaTEpfVGTRJ64hjtzJtRZDhG0pdYv3GG5rOUzTsbRoODZU2NBvRcVld7UKVusj&#10;1sbj6V/nm8OPx3zcmbNS/c9u8Q0iUBfe4pd7qRWM4tj4Jf4AO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nY4vwAAANsAAAAPAAAAAAAAAAAAAAAAAJgCAABkcnMvZG93bnJl&#10;di54bWxQSwUGAAAAAAQABAD1AAAAhAMAAAAA&#10;" path="m,3254l,1985r191,-57l382,1888r191,-36l764,1820r190,-28l1145,1755r191,-38l1527,1679r191,-39l1909,1599r191,-31l2291,1530r189,-42l2671,1442r191,-54l3054,1344r191,-45l3436,1255r191,-43l3818,1168r189,-43l4198,1081r191,-46l4580,988r191,-49l4962,890r192,-51l5345,785r189,-54l5725,674r191,-58l6107,557r191,-61l6489,432r191,-66l6871,299r190,-69l7252,160,7443,89,7634,r,3254l7443,3254r-191,l7061,3254r-190,l6680,3254r-191,l6298,3254r-191,l5916,3254r-191,l5534,3254r-189,l5154,3254r-192,l4771,3254r-191,l4389,3254r-191,l4007,3254r-189,l3627,3254r-191,l3245,3254r-191,l2862,3254r-191,l2480,3254r-189,l2100,3254r-191,l1718,3254r-191,l1336,3254r-191,l954,3254r-190,l573,3254r-191,l191,3254,,3254xe" filled="f" stroked="f">
              <v:path arrowok="t" o:connecttype="custom" o:connectlocs="0,1260475;242570,1198880;485140,1155700;727075,1114425;969645,1066165;1212215,1015365;1454785,971550;1696085,915670;1939290,853440;2181860,796925;2424430,741680;2665730,686435;2908300,627380;3150870,565150;3394075,498475;3635375,427990;3877945,353695;4120515,274320;4363085,189865;4605020,101600;4847590,0;4726305,2066290;4483735,2066290;4241800,2066290;3999230,2066290;3756660,2066290;3514090,2066290;3272790,2066290;3029585,2066290;2787015,2066290;2544445,2066290;2303145,2066290;2060575,2066290;1817370,2066290;1574800,2066290;1333500,2066290;1090930,2066290;848360,2066290;605790,2066290;363855,2066290;121285,2066290" o:connectangles="0,0,0,0,0,0,0,0,0,0,0,0,0,0,0,0,0,0,0,0,0,0,0,0,0,0,0,0,0,0,0,0,0,0,0,0,0,0,0,0,0"/>
            </v:shape>
            <v:shape id="Freeform 53" o:spid="_x0000_s1138" style="position:absolute;left:5575;top:14281;width:48476;height:17894;visibility:visible;mso-wrap-style:square;v-text-anchor:top" coordsize="7634,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0K6MUA&#10;AADbAAAADwAAAGRycy9kb3ducmV2LnhtbESPQWvCQBSE7wX/w/IEb3WjVNHUVbQiSkHQtIf09sg+&#10;k2j2bciuGv+9Wyj0OMzMN8xs0ZpK3KhxpWUFg34EgjizuuRcwffX5nUCwnlkjZVlUvAgB4t552WG&#10;sbZ3PtIt8bkIEHYxKii8r2MpXVaQQde3NXHwTrYx6INscqkbvAe4qeQwisbSYMlhocCaPgrKLsnV&#10;KBill/Sw3q9G41W6/bzizzpKlmelet12+Q7CU+v/w3/tnVbwNoXfL+EH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QroxQAAANsAAAAPAAAAAAAAAAAAAAAAAJgCAABkcnMv&#10;ZG93bnJldi54bWxQSwUGAAAAAAQABAD1AAAAigMAAAAA&#10;" path="m,2818l,1549r191,-57l382,1452r191,-36l764,1384r190,-28l1145,1321r191,-37l1527,1250r191,-37l1909,1177r191,-26l2291,1120r189,-37l2671,1044r191,-46l3054,962r191,-37l3436,889r191,-37l3818,816r189,-35l4198,745r191,-37l4580,672r191,-36l4962,598r192,-38l5345,522r189,-41l5725,441r191,-43l6107,357r191,-43l6489,272r191,-45l6871,183r190,-44l7252,94,7443,50,7634,r,2818l7443,2818r-191,l7061,2818r-190,l6680,2818r-191,l6298,2818r-191,l5916,2818r-191,l5534,2818r-189,l5154,2818r-192,l4771,2818r-191,l4389,2818r-191,l4007,2818r-189,l3627,2818r-191,l3245,2818r-191,l2862,2818r-191,l2480,2818r-189,l2100,2818r-191,l1718,2818r-191,l1336,2818r-191,l954,2818r-190,l573,2818r-191,l191,2818,,2818xe" fillcolor="#993129" stroked="f">
              <v:path arrowok="t" o:connecttype="custom" o:connectlocs="0,983615;242570,922020;485140,878840;727075,838835;969645,793750;1212215,747395;1454785,711200;1696085,662940;1939290,610870;2181860,564515;2424430,518160;2665730,473075;2908300,426720;3150870,379730;3394075,331470;3635375,280035;3877945,226695;4120515,172720;4363085,116205;4605020,59690;4847590,0;4726305,1789430;4483735,1789430;4241800,1789430;3999230,1789430;3756660,1789430;3514090,1789430;3272790,1789430;3029585,1789430;2787015,1789430;2544445,1789430;2303145,1789430;2060575,1789430;1817370,1789430;1574800,1789430;1333500,1789430;1090930,1789430;848360,1789430;605790,1789430;363855,1789430;121285,1789430" o:connectangles="0,0,0,0,0,0,0,0,0,0,0,0,0,0,0,0,0,0,0,0,0,0,0,0,0,0,0,0,0,0,0,0,0,0,0,0,0,0,0,0,0"/>
            </v:shape>
            <v:shape id="Freeform 54" o:spid="_x0000_s1139" style="position:absolute;left:5575;top:14281;width:48476;height:17894;visibility:visible;mso-wrap-style:square;v-text-anchor:top" coordsize="7634,2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KU78A&#10;AADbAAAADwAAAGRycy9kb3ducmV2LnhtbERPz2vCMBS+C/sfwht4s2kFpeuMMoXBrq3Kro/mre3W&#10;vHRJtPW/NwfB48f3e7ObTC+u5HxnWUGWpCCIa6s7bhScjp+LHIQPyBp7y6TgRh5225fZBgttRy7p&#10;WoVGxBD2BSpoQxgKKX3dkkGf2IE4cj/WGQwRukZqh2MMN71cpulaGuw4NrQ40KGl+q+6GAV0zv+z&#10;+u23dEPpffad32jcV0rNX6ePdxCBpvAUP9xfWsEqro9f4g+Q2z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cpTvwAAANsAAAAPAAAAAAAAAAAAAAAAAJgCAABkcnMvZG93bnJl&#10;di54bWxQSwUGAAAAAAQABAD1AAAAhAMAAAAA&#10;" path="m,2818l,1549r191,-57l382,1452r191,-36l764,1384r190,-28l1145,1321r191,-37l1527,1250r191,-37l1909,1177r191,-26l2291,1120r189,-37l2671,1044r191,-46l3054,962r191,-37l3436,889r191,-37l3818,816r189,-35l4198,745r191,-37l4580,672r191,-36l4962,598r192,-38l5345,522r189,-41l5725,441r191,-43l6107,357r191,-43l6489,272r191,-45l6871,183r190,-44l7252,94,7443,50,7634,r,2818l7443,2818r-191,l7061,2818r-190,l6680,2818r-191,l6298,2818r-191,l5916,2818r-191,l5534,2818r-189,l5154,2818r-192,l4771,2818r-191,l4389,2818r-191,l4007,2818r-189,l3627,2818r-191,l3245,2818r-191,l2862,2818r-191,l2480,2818r-189,l2100,2818r-191,l1718,2818r-191,l1336,2818r-191,l954,2818r-190,l573,2818r-191,l191,2818,,2818xe" filled="f" stroked="f">
              <v:path arrowok="t" o:connecttype="custom" o:connectlocs="0,983615;242570,922020;485140,878840;727075,838835;969645,793750;1212215,747395;1454785,711200;1696085,662940;1939290,610870;2181860,564515;2424430,518160;2665730,473075;2908300,426720;3150870,379730;3394075,331470;3635375,280035;3877945,226695;4120515,172720;4363085,116205;4605020,59690;4847590,0;4726305,1789430;4483735,1789430;4241800,1789430;3999230,1789430;3756660,1789430;3514090,1789430;3272790,1789430;3029585,1789430;2787015,1789430;2544445,1789430;2303145,1789430;2060575,1789430;1817370,1789430;1574800,1789430;1333500,1789430;1090930,1789430;848360,1789430;605790,1789430;363855,1789430;121285,1789430" o:connectangles="0,0,0,0,0,0,0,0,0,0,0,0,0,0,0,0,0,0,0,0,0,0,0,0,0,0,0,0,0,0,0,0,0,0,0,0,0,0,0,0,0"/>
            </v:shape>
            <v:line id="Line 55" o:spid="_x0000_s1140" style="position:absolute;visibility:visible" from="5575,4826" to="5581,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kD8MAAADbAAAADwAAAGRycy9kb3ducmV2LnhtbESPQWsCMRSE74L/ITyhN81uQZGtcRFt&#10;oYdeXEvPz83rZnHzsiSpxv76plDocZiZb5hNnewgruRD71hBuShAELdO99wpeD+9zNcgQkTWODgm&#10;BXcKUG+nkw1W2t34SNcmdiJDOFSowMQ4VlKG1pDFsHAjcfY+nbcYs/Sd1B5vGW4H+VgUK2mx57xg&#10;cKS9ofbSfFkF5zedzDI1vrufD6ujbp4/vmOh1MMs7Z5ARErxP/zXftUKliX8fs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gJA/DAAAA2wAAAA8AAAAAAAAAAAAA&#10;AAAAoQIAAGRycy9kb3ducmV2LnhtbFBLBQYAAAAABAAEAPkAAACRAwAAAAA=&#10;" strokecolor="gray" strokeweight="0"/>
            <v:line id="Line 56" o:spid="_x0000_s1141" style="position:absolute;visibility:visible" from="5162,32175" to="5575,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K6eMIAAADbAAAADwAAAGRycy9kb3ducmV2LnhtbESPQWsCMRSE7wX/Q3iCt5pVUMpqFFEL&#10;Hry4LT0/N8/N4uZlSVKN/vqmUOhxmJlvmOU62U7cyIfWsYLJuABBXDvdcqPg8+P99Q1EiMgaO8ek&#10;4EEB1qvByxJL7e58olsVG5EhHEpUYGLsSylDbchiGLueOHsX5y3GLH0jtcd7httOTotiLi22nBcM&#10;9rQ1VF+rb6vgfNTJzFLlm8d5Nz/pav/1jIVSo2HaLEBESvE//Nc+aAWzKfx+yT9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K6eMIAAADbAAAADwAAAAAAAAAAAAAA&#10;AAChAgAAZHJzL2Rvd25yZXYueG1sUEsFBgAAAAAEAAQA+QAAAJADAAAAAA==&#10;" strokecolor="gray" strokeweight="0"/>
            <v:line id="Line 57" o:spid="_x0000_s1142" style="position:absolute;visibility:visible" from="5162,26708" to="5575,2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4f48IAAADbAAAADwAAAGRycy9kb3ducmV2LnhtbESPQWsCMRSE7wX/Q3iCt5q1RSlbo4i1&#10;4KEXV+n5uXndLG5eliRq9NebQqHHYWa+YebLZDtxIR9axwom4wIEce10y42Cw/7z+Q1EiMgaO8ek&#10;4EYBlovB0xxL7a68o0sVG5EhHEpUYGLsSylDbchiGLueOHs/zluMWfpGao/XDLedfCmKmbTYcl4w&#10;2NPaUH2qzlbB8UsnM02Vb27Hj9lOV5vveyyUGg3T6h1EpBT/w3/trVYwfY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4f48IAAADbAAAADwAAAAAAAAAAAAAA&#10;AAChAgAAZHJzL2Rvd25yZXYueG1sUEsFBgAAAAAEAAQA+QAAAJADAAAAAA==&#10;" strokecolor="gray" strokeweight="0"/>
            <v:line id="Line 58" o:spid="_x0000_s1143" style="position:absolute;visibility:visible" from="5162,21228" to="5575,2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eHl8IAAADbAAAADwAAAGRycy9kb3ducmV2LnhtbESPQWsCMRSE7wX/Q3iCt5q1VClbo4i1&#10;4KEXV+n5uXndLG5eliRq9NebQqHHYWa+YebLZDtxIR9axwom4wIEce10y42Cw/7z+Q1EiMgaO8ek&#10;4EYBlovB0xxL7a68o0sVG5EhHEpUYGLsSylDbchiGLueOHs/zluMWfpGao/XDLedfCmKmbTYcl4w&#10;2NPaUH2qzlbB8UsnM02Vb27Hj9lOV5vveyyUGg3T6h1EpBT/w3/trVYwfYXfL/k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eHl8IAAADbAAAADwAAAAAAAAAAAAAA&#10;AAChAgAAZHJzL2Rvd25yZXYueG1sUEsFBgAAAAAEAAQA+QAAAJADAAAAAA==&#10;" strokecolor="gray" strokeweight="0"/>
            <v:line id="Line 59" o:spid="_x0000_s1144" style="position:absolute;visibility:visible" from="5162,15767" to="5575,15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siDMIAAADbAAAADwAAAGRycy9kb3ducmV2LnhtbESPQWsCMRSE70L/Q3iCN81aWCmrUUpb&#10;wUMvbsXzc/O6Wbp5WZKosb/eCIUeh5n5hlltku3FhXzoHCuYzwoQxI3THbcKDl/b6QuIEJE19o5J&#10;wY0CbNZPoxVW2l15T5c6tiJDOFSowMQ4VFKGxpDFMHMDcfa+nbcYs/St1B6vGW57+VwUC2mx47xg&#10;cKA3Q81PfbYKTp86mTLVvr2d3hd7XX8cf2Oh1GScXpcgIqX4H/5r77SCsoTHl/wD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siDMIAAADbAAAADwAAAAAAAAAAAAAA&#10;AAChAgAAZHJzL2Rvd25yZXYueG1sUEsFBgAAAAAEAAQA+QAAAJADAAAAAA==&#10;" strokecolor="gray" strokeweight="0"/>
            <v:line id="Line 60" o:spid="_x0000_s1145" style="position:absolute;visibility:visible" from="5162,10287" to="5575,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8e8IAAADbAAAADwAAAGRycy9kb3ducmV2LnhtbESPQWsCMRSE7wX/Q3iCt5q14FJWo5Ta&#10;ggcvbsXzc/O6Wbp5WZJUo7++KQgeh5n5hlmuk+3FmXzoHCuYTQsQxI3THbcKDl+fz68gQkTW2Dsm&#10;BVcKsF6NnpZYaXfhPZ3r2IoM4VChAhPjUEkZGkMWw9QNxNn7dt5izNK3Unu8ZLjt5UtRlNJix3nB&#10;4EDvhpqf+tcqOO10MvNU+/Z62pR7XX8cb7FQajJObwsQkVJ8hO/trVYwL+H/S/4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m8e8IAAADbAAAADwAAAAAAAAAAAAAA&#10;AAChAgAAZHJzL2Rvd25yZXYueG1sUEsFBgAAAAAEAAQA+QAAAJADAAAAAA==&#10;" strokecolor="gray" strokeweight="0"/>
            <v:line id="Line 61" o:spid="_x0000_s1146" style="position:absolute;visibility:visible" from="5162,4826" to="5575,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Z4MIAAADbAAAADwAAAGRycy9kb3ducmV2LnhtbESPQWsCMRSE7wX/Q3iCt5q1oJXVKGIr&#10;9NCL2+L5uXluFjcvS5Jq7K9vBKHHYWa+YZbrZDtxIR9axwom4wIEce10y42C76/d8xxEiMgaO8ek&#10;4EYB1qvB0xJL7a68p0sVG5EhHEpUYGLsSylDbchiGLueOHsn5y3GLH0jtcdrhttOvhTFTFpsOS8Y&#10;7GlrqD5XP1bB8VMnM02Vb27Ht9leV++H31goNRqmzQJEpBT/w4/2h1YwfYX7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UZ4MIAAADbAAAADwAAAAAAAAAAAAAA&#10;AAChAgAAZHJzL2Rvd25yZXYueG1sUEsFBgAAAAAEAAQA+QAAAJADAAAAAA==&#10;" strokecolor="gray" strokeweight="0"/>
            <v:line id="Line 62" o:spid="_x0000_s1147" style="position:absolute;visibility:visible" from="5575,32175" to="54051,3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NksAAAADbAAAADwAAAGRycy9kb3ducmV2LnhtbERPz2vCMBS+D/Y/hDfYbaYbKFJNi0wH&#10;O+xiFc/P5tkUm5eSZBr31y8HwePH93tZJzuIC/nQO1bwPilAELdO99wp2O++3uYgQkTWODgmBTcK&#10;UFfPT0sstbvyli5N7EQO4VCiAhPjWEoZWkMWw8SNxJk7OW8xZug7qT1ec7gd5EdRzKTFnnODwZE+&#10;DbXn5tcqOP7oZKap8d3tuJ5tdbM5/MVCqdeXtFqAiJTiQ3x3f2sF0zw2f8k/QF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ajZLAAAAA2wAAAA8AAAAAAAAAAAAAAAAA&#10;oQIAAGRycy9kb3ducmV2LnhtbFBLBQYAAAAABAAEAPkAAACOAwAAAAA=&#10;" strokecolor="gray" strokeweight="0"/>
            <v:line id="Line 63" o:spid="_x0000_s1148" style="position:absolute;flip:y;visibility:visible" from="5575,32175" to="5581,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F8AAAADbAAAADwAAAGRycy9kb3ducmV2LnhtbESPQYvCMBSE74L/ITzBm6YKLms1igii&#10;J0G3eH40z6bYvJQk1vrvzcLCHoeZ+YZZb3vbiI58qB0rmE0zEMSl0zVXCoqfw+QbRIjIGhvHpOBN&#10;Abab4WCNuXYvvlB3jZVIEA45KjAxtrmUoTRkMUxdS5y8u/MWY5K+ktrjK8FtI+dZ9iUt1pwWDLa0&#10;N1Q+rk+r4FT48nzsZrvbo4vF8dLua0NvpcajfrcCEamP/+G/9kkrWCzh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P5RfAAAAA2wAAAA8AAAAAAAAAAAAAAAAA&#10;oQIAAGRycy9kb3ducmV2LnhtbFBLBQYAAAAABAAEAPkAAACOAwAAAAA=&#10;" strokecolor="gray" strokeweight="0"/>
            <v:line id="Line 64" o:spid="_x0000_s1149" style="position:absolute;flip:y;visibility:visible" from="6788,32175" to="6794,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mGN7sAAADbAAAADwAAAGRycy9kb3ducmV2LnhtbERPvQrCMBDeBd8hnOCmqQ4i1SgiiE6C&#10;WpyP5myKzaUksda3N4Pg+PH9r7e9bURHPtSOFcymGQji0umaKwXF7TBZgggRWWPjmBR8KMB2Mxys&#10;MdfuzRfqrrESKYRDjgpMjG0uZSgNWQxT1xIn7uG8xZigr6T2+E7htpHzLFtIizWnBoMt7Q2Vz+vL&#10;KjgVvjwfu9nu/uxicby0+9rQR6nxqN+tQETq41/8c5+0gkVan76kH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TmYY3uwAAANsAAAAPAAAAAAAAAAAAAAAAAKECAABk&#10;cnMvZG93bnJldi54bWxQSwUGAAAAAAQABAD5AAAAiQMAAAAA&#10;" strokecolor="gray" strokeweight="0"/>
            <v:line id="Line 65" o:spid="_x0000_s1150" style="position:absolute;flip:y;visibility:visible" from="8001,32175" to="8007,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UjrL8AAADbAAAADwAAAGRycy9kb3ducmV2LnhtbESPQYvCMBSE74L/ITzBm6bdgyzVKCKI&#10;nhZ0i+dH82yKzUtJYq3/3giCx2FmvmFWm8G2oicfGscK8nkGgrhyuuFaQfm/n/2CCBFZY+uYFDwp&#10;wGY9Hq2w0O7BJ+rPsRYJwqFABSbGrpAyVIYshrnriJN3dd5iTNLXUnt8JLht5U+WLaTFhtOCwY52&#10;hqrb+W4VHEtf/R36fHu59bE8nLpdY+ip1HQybJcgIg3xG/60j1rBIof3l/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UjrL8AAADbAAAADwAAAAAAAAAAAAAAAACh&#10;AgAAZHJzL2Rvd25yZXYueG1sUEsFBgAAAAAEAAQA+QAAAI0DAAAAAA==&#10;" strokecolor="gray" strokeweight="0"/>
            <v:line id="Line 66" o:spid="_x0000_s1151" style="position:absolute;flip:y;visibility:visible" from="9213,32175" to="9220,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e9278AAADbAAAADwAAAGRycy9kb3ducmV2LnhtbESPQYvCMBSE7wv+h/AEb9tUDyLVKCKI&#10;ngS17PnRPJti81KSWOu/N4Kwx2FmvmFWm8G2oicfGscKplkOgrhyuuFaQXnd/y5AhIissXVMCl4U&#10;YLMe/ayw0O7JZ+ovsRYJwqFABSbGrpAyVIYshsx1xMm7OW8xJulrqT0+E9y2cpbnc2mx4bRgsKOd&#10;oep+eVgFx9JXp0M/3f7d+1gezt2uMfRSajIetksQkYb4H/62j1rBfAafL+kHy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e9278AAADbAAAADwAAAAAAAAAAAAAAAACh&#10;AgAAZHJzL2Rvd25yZXYueG1sUEsFBgAAAAAEAAQA+QAAAI0DAAAAAA==&#10;" strokecolor="gray" strokeweight="0"/>
            <v:line id="Line 67" o:spid="_x0000_s1152" style="position:absolute;flip:y;visibility:visible" from="10426,32175" to="10433,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sYQL8AAADbAAAADwAAAGRycy9kb3ducmV2LnhtbESPQYvCMBSE74L/ITxhb5qqIFKNIoLo&#10;SVCL50fzbIrNS0lirf/eLCzscZiZb5j1treN6MiH2rGC6SQDQVw6XXOloLgdxksQISJrbByTgg8F&#10;2G6GgzXm2r35Qt01ViJBOOSowMTY5lKG0pDFMHEtcfIezluMSfpKao/vBLeNnGXZQlqsOS0YbGlv&#10;qHxeX1bBqfDl+dhNd/dnF4vjpd3Xhj5K/Yz63QpEpD7+h//aJ61gMYf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0sYQL8AAADbAAAADwAAAAAAAAAAAAAAAACh&#10;AgAAZHJzL2Rvd25yZXYueG1sUEsFBgAAAAAEAAQA+QAAAI0DAAAAAA==&#10;" strokecolor="gray" strokeweight="0"/>
            <v:line id="Line 68" o:spid="_x0000_s1153" style="position:absolute;flip:y;visibility:visible" from="11633,32175" to="11639,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ANL8AAADbAAAADwAAAGRycy9kb3ducmV2LnhtbESPQYvCMBSE74L/ITxhb5oqIlKNIoLo&#10;SVCL50fzbIrNS0lirf/eLCzscZiZb5j1treN6MiH2rGC6SQDQVw6XXOloLgdxksQISJrbByTgg8F&#10;2G6GgzXm2r35Qt01ViJBOOSowMTY5lKG0pDFMHEtcfIezluMSfpKao/vBLeNnGXZQlqsOS0YbGlv&#10;qHxeX1bBqfDl+dhNd/dnF4vjpd3Xhj5K/Yz63QpEpD7+h//aJ61gMYf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KKANL8AAADbAAAADwAAAAAAAAAAAAAAAACh&#10;AgAAZHJzL2Rvd25yZXYueG1sUEsFBgAAAAAEAAQA+QAAAI0DAAAAAA==&#10;" strokecolor="gray" strokeweight="0"/>
            <v:line id="Line 69" o:spid="_x0000_s1154" style="position:absolute;flip:y;visibility:visible" from="12846,32175" to="12852,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r78AAADbAAAADwAAAGRycy9kb3ducmV2LnhtbESPQYvCMBSE74L/ITxhb5oqKFKNIoLo&#10;SVCL50fzbIrNS0lirf/eLCzscZiZb5j1treN6MiH2rGC6SQDQVw6XXOloLgdxksQISJrbByTgg8F&#10;2G6GgzXm2r35Qt01ViJBOOSowMTY5lKG0pDFMHEtcfIezluMSfpKao/vBLeNnGXZQlqsOS0YbGlv&#10;qHxeX1bBqfDl+dhNd/dnF4vjpd3Xhj5K/Yz63QpEpD7+h//aJ61gMYf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4lr78AAADbAAAADwAAAAAAAAAAAAAAAACh&#10;AgAAZHJzL2Rvd25yZXYueG1sUEsFBgAAAAAEAAQA+QAAAI0DAAAAAA==&#10;" strokecolor="gray" strokeweight="0"/>
            <v:line id="Line 70" o:spid="_x0000_s1155" style="position:absolute;flip:y;visibility:visible" from="14058,32175" to="14065,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y72L8AAADbAAAADwAAAGRycy9kb3ducmV2LnhtbESPQYvCMBSE74L/ITzBm6buoSzVKCKI&#10;nhZ0i+dH82yKzUtJYq3/3giCx2FmvmFWm8G2oicfGscKFvMMBHHldMO1gvJ/P/sFESKyxtYxKXhS&#10;gM16PFphod2DT9SfYy0ShEOBCkyMXSFlqAxZDHPXESfv6rzFmKSvpfb4SHDbyp8sy6XFhtOCwY52&#10;hqrb+W4VHEtf/R36xfZy62N5OHW7xtBTqelk2C5BRBriN/xpH7WCPIf3l/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zy72L8AAADbAAAADwAAAAAAAAAAAAAAAACh&#10;AgAAZHJzL2Rvd25yZXYueG1sUEsFBgAAAAAEAAQA+QAAAI0DAAAAAA==&#10;" strokecolor="gray" strokeweight="0"/>
            <v:line id="Line 71" o:spid="_x0000_s1156" style="position:absolute;flip:y;visibility:visible" from="15271,32175" to="15278,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AeQ8AAAADbAAAADwAAAGRycy9kb3ducmV2LnhtbESPQYvCMBSE74L/ITzBm6buQZdqFBFE&#10;T4Ju8fxonk2xeSlJrPXfbwTB4zAz3zCrTW8b0ZEPtWMFs2kGgrh0uuZKQfG3n/yCCBFZY+OYFLwo&#10;wGY9HKww1+7JZ+ousRIJwiFHBSbGNpcylIYshqlriZN3c95iTNJXUnt8Jrht5E+WzaXFmtOCwZZ2&#10;hsr75WEVHAtfng7dbHu9d7E4nNtdbeil1HjUb5cgIvXxG/60j1rBfAHvL+k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wHkPAAAAA2wAAAA8AAAAAAAAAAAAAAAAA&#10;oQIAAGRycy9kb3ducmV2LnhtbFBLBQYAAAAABAAEAPkAAACOAwAAAAA=&#10;" strokecolor="gray" strokeweight="0"/>
            <v:line id="Line 72" o:spid="_x0000_s1157" style="position:absolute;flip:y;visibility:visible" from="16484,32175" to="16490,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MbsAAADbAAAADwAAAGRycy9kb3ducmV2LnhtbERPvQrCMBDeBd8hnOCmqQ4i1SgiiE6C&#10;WpyP5myKzaUksda3N4Pg+PH9r7e9bURHPtSOFcymGQji0umaKwXF7TBZgggRWWPjmBR8KMB2Mxys&#10;MdfuzRfqrrESKYRDjgpMjG0uZSgNWQxT1xIn7uG8xZigr6T2+E7htpHzLFtIizWnBoMt7Q2Vz+vL&#10;KjgVvjwfu9nu/uxicby0+9rQR6nxqN+tQETq41/8c5+0gkUam76kH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t74oxuwAAANsAAAAPAAAAAAAAAAAAAAAAAKECAABk&#10;cnMvZG93bnJldi54bWxQSwUGAAAAAAQABAD5AAAAiQMAAAAA&#10;" strokecolor="gray" strokeweight="0"/>
            <v:line id="Line 73" o:spid="_x0000_s1158" style="position:absolute;flip:y;visibility:visible" from="17697,32175" to="17703,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MvqsAAAADbAAAADwAAAGRycy9kb3ducmV2LnhtbESPQYvCMBSE74L/ITzBm6buQdxqFBFE&#10;T4Ju8fxonk2xeSlJrPXfbwTB4zAz3zCrTW8b0ZEPtWMFs2kGgrh0uuZKQfG3nyxAhIissXFMCl4U&#10;YLMeDlaYa/fkM3WXWIkE4ZCjAhNjm0sZSkMWw9S1xMm7OW8xJukrqT0+E9w28ifL5tJizWnBYEs7&#10;Q+X98rAKjoUvT4dutr3eu1gczu2uNvRSajzqt0sQkfr4DX/aR61g/gvvL+k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jL6rAAAAA2wAAAA8AAAAAAAAAAAAAAAAA&#10;oQIAAGRycy9kb3ducmV2LnhtbFBLBQYAAAAABAAEAPkAAACOAwAAAAA=&#10;" strokecolor="gray" strokeweight="0"/>
            <v:line id="Line 74" o:spid="_x0000_s1159" style="position:absolute;flip:y;visibility:visible" from="18910,32175" to="18916,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Q6r4AAADbAAAADwAAAGRycy9kb3ducmV2LnhtbERPTYvCMBC9L/gfwgh726Z6cJdqWkQQ&#10;PQm6xfPQjE2xmZQk1vrvzWFhj4/3vakm24uRfOgcK1hkOQjixumOWwX17/7rB0SIyBp7x6TgRQGq&#10;cvaxwUK7J59pvMRWpBAOBSowMQ6FlKExZDFkbiBO3M15izFB30rt8ZnCbS+Xeb6SFjtODQYH2hlq&#10;7peHVXCsfXM6jIvt9T7G+nAedp2hl1Kf82m7BhFpiv/iP/dRK/hO69OX9ANk+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QBDqvgAAANsAAAAPAAAAAAAAAAAAAAAAAKEC&#10;AABkcnMvZG93bnJldi54bWxQSwUGAAAAAAQABAD5AAAAjAMAAAAA&#10;" strokecolor="gray" strokeweight="0"/>
            <v:line id="Line 75" o:spid="_x0000_s1160" style="position:absolute;flip:y;visibility:visible" from="20123,32175" to="20129,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y1ccAAAADbAAAADwAAAGRycy9kb3ducmV2LnhtbESPQYvCMBSE74L/ITzBm6bdgytdo4gg&#10;ehLUsudH82yKzUtJsrX+eyMIexxm5htmtRlsK3ryoXGsIJ9nIIgrpxuuFZTX/WwJIkRkja1jUvCk&#10;AJv1eLTCQrsHn6m/xFokCIcCFZgYu0LKUBmyGOauI07ezXmLMUlfS+3xkeC2lV9ZtpAWG04LBjva&#10;Garulz+r4Fj66nTo8+3vvY/l4dztGkNPpaaTYfsDItIQ/8Of9lEr+M7h/SX9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MtXHAAAAA2wAAAA8AAAAAAAAAAAAAAAAA&#10;oQIAAGRycy9kb3ducmV2LnhtbFBLBQYAAAAABAAEAPkAAACOAwAAAAA=&#10;" strokecolor="gray" strokeweight="0"/>
            <v:line id="Line 76" o:spid="_x0000_s1161" style="position:absolute;flip:y;visibility:visible" from="21323,32175" to="21329,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rBsAAAADbAAAADwAAAGRycy9kb3ducmV2LnhtbESPQYvCMBSE74L/ITzBm6Z60KUaRQTR&#10;k6BbPD+aZ1NsXkoSa/33ZmHB4zAz3zDrbW8b0ZEPtWMFs2kGgrh0uuZKQfF7mPyACBFZY+OYFLwp&#10;wHYzHKwx1+7FF+qusRIJwiFHBSbGNpcylIYshqlriZN3d95iTNJXUnt8Jbht5DzLFtJizWnBYEt7&#10;Q+Xj+rQKToUvz8dutrs9ulgcL+2+NvRWajzqdysQkfr4Df+3T1rBcg5/X9IPkJ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eKwbAAAAA2wAAAA8AAAAAAAAAAAAAAAAA&#10;oQIAAGRycy9kb3ducmV2LnhtbFBLBQYAAAAABAAEAPkAAACOAwAAAAA=&#10;" strokecolor="gray" strokeweight="0"/>
            <v:line id="Line 77" o:spid="_x0000_s1162" style="position:absolute;flip:y;visibility:visible" from="22536,32175" to="22542,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KOncAAAADbAAAADwAAAGRycy9kb3ducmV2LnhtbESPQYvCMBSE74L/ITzBm6Yq7Eo1igii&#10;J0G3eH40z6bYvJQk1vrvzcLCHoeZ+YZZb3vbiI58qB0rmE0zEMSl0zVXCoqfw2QJIkRkjY1jUvCm&#10;ANvNcLDGXLsXX6i7xkokCIccFZgY21zKUBqyGKauJU7e3XmLMUlfSe3xleC2kfMs+5IWa04LBlva&#10;Gyof16dVcCp8eT52s93t0cXieGn3taG3UuNRv1uBiNTH//Bf+6QVfC/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Sjp3AAAAA2wAAAA8AAAAAAAAAAAAAAAAA&#10;oQIAAGRycy9kb3ducmV2LnhtbFBLBQYAAAAABAAEAPkAAACOAwAAAAA=&#10;" strokecolor="gray" strokeweight="0"/>
            <v:line id="Line 78" o:spid="_x0000_s1163" style="position:absolute;flip:y;visibility:visible" from="23749,32175" to="23755,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W6cAAAADbAAAADwAAAGRycy9kb3ducmV2LnhtbESPQYvCMBSE74L/ITzBm6aK7Eo1igii&#10;J0G3eH40z6bYvJQk1vrvzcLCHoeZ+YZZb3vbiI58qB0rmE0zEMSl0zVXCoqfw2QJIkRkjY1jUvCm&#10;ANvNcLDGXLsXX6i7xkokCIccFZgY21zKUBqyGKauJU7e3XmLMUlfSe3xleC2kfMs+5IWa04LBlva&#10;Gyof16dVcCp8eT52s93t0cXieGn3taG3UuNRv1uBiNTH//Bf+6QVfC/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7FunAAAAA2wAAAA8AAAAAAAAAAAAAAAAA&#10;oQIAAGRycy9kb3ducmV2LnhtbFBLBQYAAAAABAAEAPkAAACOAwAAAAA=&#10;" strokecolor="gray" strokeweight="0"/>
            <v:line id="Line 79" o:spid="_x0000_s1164" style="position:absolute;flip:y;visibility:visible" from="24968,32175" to="24974,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zcsAAAADbAAAADwAAAGRycy9kb3ducmV2LnhtbESPQYvCMBSE74L/ITzBm6YK7ko1igii&#10;J0G3eH40z6bYvJQk1vrvzcLCHoeZ+YZZb3vbiI58qB0rmE0zEMSl0zVXCoqfw2QJIkRkjY1jUvCm&#10;ANvNcLDGXLsXX6i7xkokCIccFZgY21zKUBqyGKauJU7e3XmLMUlfSe3xleC2kfMs+5IWa04LBlva&#10;Gyof16dVcCp8eT52s93t0cXieGn3taG3UuNRv1uBiNTH//Bf+6QVfC/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3s3LAAAAA2wAAAA8AAAAAAAAAAAAAAAAA&#10;oQIAAGRycy9kb3ducmV2LnhtbFBLBQYAAAAABAAEAPkAAACOAwAAAAA=&#10;" strokecolor="gray" strokeweight="0"/>
            <v:line id="Line 80" o:spid="_x0000_s1165" style="position:absolute;flip:y;visibility:visible" from="26181,32175" to="26187,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tBcAAAADbAAAADwAAAGRycy9kb3ducmV2LnhtbESPQYvCMBSE74L/ITzBm6buQZdqFBFE&#10;T4Ju8fxonk2xeSlJrPXfbwTB4zAz3zCrTW8b0ZEPtWMFs2kGgrh0uuZKQfG3n/yCCBFZY+OYFLwo&#10;wGY9HKww1+7JZ+ousRIJwiFHBSbGNpcylIYshqlriZN3c95iTNJXUnt8Jrht5E+WzaXFmtOCwZZ2&#10;hsr75WEVHAtfng7dbHu9d7E4nNtdbeil1HjUb5cgIvXxG/60j1rBYg7vL+k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lLQXAAAAA2wAAAA8AAAAAAAAAAAAAAAAA&#10;oQIAAGRycy9kb3ducmV2LnhtbFBLBQYAAAAABAAEAPkAAACOAwAAAAA=&#10;" strokecolor="gray" strokeweight="0"/>
            <v:line id="Line 81" o:spid="_x0000_s1166" style="position:absolute;flip:y;visibility:visible" from="27393,32175" to="27400,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InsAAAADbAAAADwAAAGRycy9kb3ducmV2LnhtbESPQYvCMBSE74L/ITxhb5rqQaUaRQTR&#10;k6AWz4/m2RSbl5LEWv+9WVjY4zAz3zDrbW8b0ZEPtWMF00kGgrh0uuZKQXE7jJcgQkTW2DgmBR8K&#10;sN0MB2vMtXvzhbprrESCcMhRgYmxzaUMpSGLYeJa4uQ9nLcYk/SV1B7fCW4bOcuyubRYc1ow2NLe&#10;UPm8vqyCU+HL87Gb7u7PLhbHS7uvDX2U+hn1uxWISH38D/+1T1rBYgG/X9IPkJ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piJ7AAAAA2wAAAA8AAAAAAAAAAAAAAAAA&#10;oQIAAGRycy9kb3ducmV2LnhtbFBLBQYAAAAABAAEAPkAAACOAwAAAAA=&#10;" strokecolor="gray" strokeweight="0"/>
            <v:line id="Line 82" o:spid="_x0000_s1167" style="position:absolute;flip:y;visibility:visible" from="28606,32175" to="28613,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c7L4AAADbAAAADwAAAGRycy9kb3ducmV2LnhtbERPTYvCMBC9L/gfwgh726Z6cJdqWkQQ&#10;PQm6xfPQjE2xmZQk1vrvzWFhj4/3vakm24uRfOgcK1hkOQjixumOWwX17/7rB0SIyBp7x6TgRQGq&#10;cvaxwUK7J59pvMRWpBAOBSowMQ6FlKExZDFkbiBO3M15izFB30rt8ZnCbS+Xeb6SFjtODQYH2hlq&#10;7peHVXCsfXM6jIvt9T7G+nAedp2hl1Kf82m7BhFpiv/iP/dRK/hOY9OX9ANk+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NhzsvgAAANsAAAAPAAAAAAAAAAAAAAAAAKEC&#10;AABkcnMvZG93bnJldi54bWxQSwUGAAAAAAQABAD5AAAAjAMAAAAA&#10;" strokecolor="gray" strokeweight="0"/>
            <v:line id="Line 83" o:spid="_x0000_s1168" style="position:absolute;flip:y;visibility:visible" from="29819,32175" to="29825,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5d8AAAADbAAAADwAAAGRycy9kb3ducmV2LnhtbESPQYvCMBSE74L/ITzBm6Z6cNdqFBFE&#10;T4Ju8fxonk2xeSlJrPXfm4WFPQ4z8w2z3va2ER35UDtWMJtmIIhLp2uuFBQ/h8k3iBCRNTaOScGb&#10;Amw3w8Eac+1efKHuGiuRIBxyVGBibHMpQ2nIYpi6ljh5d+ctxiR9JbXHV4LbRs6zbCEt1pwWDLa0&#10;N1Q+rk+r4FT48nzsZrvbo4vF8dLua0NvpcajfrcCEamP/+G/9kkr+FrC75f0A+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6uXfAAAAA2wAAAA8AAAAAAAAAAAAAAAAA&#10;oQIAAGRycy9kb3ducmV2LnhtbFBLBQYAAAAABAAEAPkAAACOAwAAAAA=&#10;" strokecolor="gray" strokeweight="0"/>
            <v:line id="Line 84" o:spid="_x0000_s1169" style="position:absolute;flip:y;visibility:visible" from="31019,32175" to="31026,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VgzbsAAADbAAAADwAAAGRycy9kb3ducmV2LnhtbERPvQrCMBDeBd8hnOCmqQ4i1SgiiE6C&#10;WpyP5myKzaUksda3N4Pg+PH9r7e9bURHPtSOFcymGQji0umaKwXF7TBZgggRWWPjmBR8KMB2Mxys&#10;MdfuzRfqrrESKYRDjgpMjG0uZSgNWQxT1xIn7uG8xZigr6T2+E7htpHzLFtIizWnBoMt7Q2Vz+vL&#10;KjgVvjwfu9nu/uxicby0+9rQR6nxqN+tQETq41/8c5+0gmVan76kH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jlWDNuwAAANsAAAAPAAAAAAAAAAAAAAAAAKECAABk&#10;cnMvZG93bnJldi54bWxQSwUGAAAAAAQABAD5AAAAiQMAAAAA&#10;" strokecolor="gray" strokeweight="0"/>
            <v:line id="Line 85" o:spid="_x0000_s1170" style="position:absolute;flip:y;visibility:visible" from="32232,32175" to="32238,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nFVr8AAADbAAAADwAAAGRycy9kb3ducmV2LnhtbESPQYvCMBSE74L/ITzBm6bdg0jXKCKI&#10;nhbU4vnRvG2KzUtJYq3/3giCx2FmvmFWm8G2oicfGscK8nkGgrhyuuFaQXnZz5YgQkTW2DomBU8K&#10;sFmPRysstHvwifpzrEWCcChQgYmxK6QMlSGLYe464uT9O28xJulrqT0+Ety28ifLFtJiw2nBYEc7&#10;Q9XtfLcKjqWv/g59vr3e+lgeTt2uMfRUajoZtr8gIg3xG/60j1rBMof3l/QD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NnFVr8AAADbAAAADwAAAAAAAAAAAAAAAACh&#10;AgAAZHJzL2Rvd25yZXYueG1sUEsFBgAAAAAEAAQA+QAAAI0DAAAAAA==&#10;" strokecolor="gray" strokeweight="0"/>
            <v:line id="Line 86" o:spid="_x0000_s1171" style="position:absolute;flip:y;visibility:visible" from="33445,32175" to="33451,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bIb8AAADbAAAADwAAAGRycy9kb3ducmV2LnhtbESPQYvCMBSE7wv+h/CEvW1TPYhUo4gg&#10;ehLU4vnRPJti81KSWOu/NwuCx2FmvmGW68G2oicfGscKJlkOgrhyuuFaQXnZ/c1BhIissXVMCl4U&#10;YL0a/Syx0O7JJ+rPsRYJwqFABSbGrpAyVIYshsx1xMm7OW8xJulrqT0+E9y2cprnM2mx4bRgsKOt&#10;oep+flgFh9JXx30/2VzvfSz3p27bGHop9TseNgsQkYb4DX/aB61gPoX/L+kHyN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tbIb8AAADbAAAADwAAAAAAAAAAAAAAAACh&#10;AgAAZHJzL2Rvd25yZXYueG1sUEsFBgAAAAAEAAQA+QAAAI0DAAAAAA==&#10;" strokecolor="gray" strokeweight="0"/>
            <v:line id="Line 87" o:spid="_x0000_s1172" style="position:absolute;flip:y;visibility:visible" from="34658,32175" to="34664,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ur8AAADbAAAADwAAAGRycy9kb3ducmV2LnhtbESPQYvCMBSE74L/ITxhb5qqIFKNIoLo&#10;SVCL50fzbIrNS0lirf/eLCzscZiZb5j1treN6MiH2rGC6SQDQVw6XXOloLgdxksQISJrbByTgg8F&#10;2G6GgzXm2r35Qt01ViJBOOSowMTY5lKG0pDFMHEtcfIezluMSfpKao/vBLeNnGXZQlqsOS0YbGlv&#10;qHxeX1bBqfDl+dhNd/dnF4vjpd3Xhj5K/Yz63QpEpD7+h//aJ61gOYf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0f+ur8AAADbAAAADwAAAAAAAAAAAAAAAACh&#10;AgAAZHJzL2Rvd25yZXYueG1sUEsFBgAAAAAEAAQA+QAAAI0DAAAAAA==&#10;" strokecolor="gray" strokeweight="0"/>
            <v:line id="Line 88" o:spid="_x0000_s1173" style="position:absolute;flip:y;visibility:visible" from="35871,32175" to="35877,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5mzr8AAADbAAAADwAAAGRycy9kb3ducmV2LnhtbESPQYvCMBSE74L/ITxhb5oqIlKNIoLo&#10;SVCL50fzbIrNS0lirf/eLCzscZiZb5j1treN6MiH2rGC6SQDQVw6XXOloLgdxksQISJrbByTgg8F&#10;2G6GgzXm2r35Qt01ViJBOOSowMTY5lKG0pDFMHEtcfIezluMSfpKao/vBLeNnGXZQlqsOS0YbGlv&#10;qHxeX1bBqfDl+dhNd/dnF4vjpd3Xhj5K/Yz63QpEpD7+h//aJ61gOYf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5mzr8AAADbAAAADwAAAAAAAAAAAAAAAACh&#10;AgAAZHJzL2Rvd25yZXYueG1sUEsFBgAAAAAEAAQA+QAAAI0DAAAAAA==&#10;" strokecolor="gray" strokeweight="0"/>
            <v:line id="Line 89" o:spid="_x0000_s1174" style="position:absolute;flip:y;visibility:visible" from="37084,32175" to="37090,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DVb8AAADbAAAADwAAAGRycy9kb3ducmV2LnhtbESPQYvCMBSE74L/ITxhb5oqKFKNIoLo&#10;SVCL50fzbIrNS0lirf/eLCzscZiZb5j1treN6MiH2rGC6SQDQVw6XXOloLgdxksQISJrbByTgg8F&#10;2G6GgzXm2r35Qt01ViJBOOSowMTY5lKG0pDFMHEtcfIezluMSfpKao/vBLeNnGXZQlqsOS0YbGlv&#10;qHxeX1bBqfDl+dhNd/dnF4vjpd3Xhj5K/Yz63QpEpD7+h//aJ61gOYffL+kHyM0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DVb8AAADbAAAADwAAAAAAAAAAAAAAAACh&#10;AgAAZHJzL2Rvd25yZXYueG1sUEsFBgAAAAAEAAQA+QAAAI0DAAAAAA==&#10;" strokecolor="gray" strokeweight="0"/>
            <v:line id="Line 90" o:spid="_x0000_s1175" style="position:absolute;flip:y;visibility:visible" from="38303,32175" to="38309,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dIr8AAADbAAAADwAAAGRycy9kb3ducmV2LnhtbESPQavCMBCE74L/IazgTVM9iFSjiCB6&#10;EtTieWnWpthsShJr/fdGePCOw8x8w6y3vW1ERz7UjhXMphkI4tLpmisFxe0wWYIIEVlj45gUfCjA&#10;djMcrDHX7s0X6q6xEgnCIUcFJsY2lzKUhiyGqWuJk/dw3mJM0ldSe3wnuG3kPMsW0mLNacFgS3tD&#10;5fP6sgpOhS/Px262uz+7WBwv7b429FFqPOp3KxCR+vgf/muftILlAn5f0g+Qm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BdIr8AAADbAAAADwAAAAAAAAAAAAAAAACh&#10;AgAAZHJzL2Rvd25yZXYueG1sUEsFBgAAAAAEAAQA+QAAAI0DAAAAAA==&#10;" strokecolor="gray" strokeweight="0"/>
            <v:line id="Line 91" o:spid="_x0000_s1176" style="position:absolute;flip:y;visibility:visible" from="39516,32175" to="39522,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z4ucAAAADbAAAADwAAAGRycy9kb3ducmV2LnhtbESPQYvCMBSE74L/ITxhb5rqQaUaRQTR&#10;k6AWz4/m2RSbl5LEWv+9WVjY4zAz3zDrbW8b0ZEPtWMF00kGgrh0uuZKQXE7jJcgQkTW2DgmBR8K&#10;sN0MB2vMtXvzhbprrESCcMhRgYmxzaUMpSGLYeJa4uQ9nLcYk/SV1B7fCW4bOcuyubRYc1ow2NLe&#10;UPm8vqyCU+HL87Gb7u7PLhbHS7uvDX2U+hn1uxWISH38D/+1T1rBcgG/X9IPkJ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8+LnAAAAA2wAAAA8AAAAAAAAAAAAAAAAA&#10;oQIAAGRycy9kb3ducmV2LnhtbFBLBQYAAAAABAAEAPkAAACOAwAAAAA=&#10;" strokecolor="gray" strokeweight="0"/>
            <v:line id="Line 92" o:spid="_x0000_s1177" style="position:absolute;flip:y;visibility:visible" from="40716,32175" to="40722,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sy7sAAADbAAAADwAAAGRycy9kb3ducmV2LnhtbERPvQrCMBDeBd8hnOCmqQ4i1SgiiE6C&#10;WpyP5myKzaUksda3N4Pg+PH9r7e9bURHPtSOFcymGQji0umaKwXF7TBZgggRWWPjmBR8KMB2Mxys&#10;MdfuzRfqrrESKYRDjgpMjG0uZSgNWQxT1xIn7uG8xZigr6T2+E7htpHzLFtIizWnBoMt7Q2Vz+vL&#10;KjgVvjwfu9nu/uxicby0+9rQR6nxqN+tQETq41/8c5+0gmUam76kH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d42zLuwAAANsAAAAPAAAAAAAAAAAAAAAAAKECAABk&#10;cnMvZG93bnJldi54bWxQSwUGAAAAAAQABAD5AAAAiQMAAAAA&#10;" strokecolor="gray" strokeweight="0"/>
            <v:line id="Line 93" o:spid="_x0000_s1178" style="position:absolute;flip:y;visibility:visible" from="41929,32175" to="41935,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UMAAAADbAAAADwAAAGRycy9kb3ducmV2LnhtbESPQYvCMBSE74L/ITxhb5rqQbQaRQTR&#10;k6AWz4/m2RSbl5LEWv+9WVjY4zAz3zDrbW8b0ZEPtWMF00kGgrh0uuZKQXE7jBcgQkTW2DgmBR8K&#10;sN0MB2vMtXvzhbprrESCcMhRgYmxzaUMpSGLYeJa4uQ9nLcYk/SV1B7fCW4bOcuyubRYc1ow2NLe&#10;UPm8vqyCU+HL87Gb7u7PLhbHS7uvDX2U+hn1uxWISH38D/+1T1rBYgm/X9IPkJ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vyVDAAAAA2wAAAA8AAAAAAAAAAAAAAAAA&#10;oQIAAGRycy9kb3ducmV2LnhtbFBLBQYAAAAABAAEAPkAAACOAwAAAAA=&#10;" strokecolor="gray" strokeweight="0"/>
            <v:line id="Line 94" o:spid="_x0000_s1179" style="position:absolute;flip:y;visibility:visible" from="43141,32175" to="43148,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z2EL4AAADbAAAADwAAAGRycy9kb3ducmV2LnhtbERPTYvCMBC9L/gfwgh726Z6kN1qWkQQ&#10;PQm6xfPQjE2xmZQk1vrvzWFhj4/3vakm24uRfOgcK1hkOQjixumOWwX17/7rG0SIyBp7x6TgRQGq&#10;cvaxwUK7J59pvMRWpBAOBSowMQ6FlKExZDFkbiBO3M15izFB30rt8ZnCbS+Xeb6SFjtODQYH2hlq&#10;7peHVXCsfXM6jIvt9T7G+nAedp2hl1Kf82m7BhFpiv/iP/dRK/hJ69OX9ANk+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TPYQvgAAANsAAAAPAAAAAAAAAAAAAAAAAKEC&#10;AABkcnMvZG93bnJldi54bWxQSwUGAAAAAAQABAD5AAAAjAMAAAAA&#10;" strokecolor="gray" strokeweight="0"/>
            <v:line id="Line 95" o:spid="_x0000_s1180" style="position:absolute;flip:y;visibility:visible" from="44354,32175" to="44361,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Ti8AAAADbAAAADwAAAGRycy9kb3ducmV2LnhtbESPQYvCMBSE74L/ITzBm6bdg6xdo4gg&#10;ehLUsudH82yKzUtJsrX+eyMIexxm5htmtRlsK3ryoXGsIJ9nIIgrpxuuFZTX/ewbRIjIGlvHpOBJ&#10;ATbr8WiFhXYPPlN/ibVIEA4FKjAxdoWUoTJkMcxdR5y8m/MWY5K+ltrjI8FtK7+ybCEtNpwWDHa0&#10;M1TdL39WwbH01enQ59vfex/Lw7nbNYaeSk0nw/YHRKQh/oc/7aNWsMzh/SX9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AU4vAAAAA2wAAAA8AAAAAAAAAAAAAAAAA&#10;oQIAAGRycy9kb3ducmV2LnhtbFBLBQYAAAAABAAEAPkAAACOAwAAAAA=&#10;" strokecolor="gray" strokeweight="0"/>
            <v:line id="Line 96" o:spid="_x0000_s1181" style="position:absolute;flip:y;visibility:visible" from="45567,32175" to="45573,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LN/MAAAADbAAAADwAAAGRycy9kb3ducmV2LnhtbESPQYvCMBSE74L/ITzBm6Z6ELcaRQTR&#10;k6BbPD+aZ1NsXkoSa/33ZmHB4zAz3zDrbW8b0ZEPtWMFs2kGgrh0uuZKQfF7mCxBhIissXFMCt4U&#10;YLsZDtaYa/fiC3XXWIkE4ZCjAhNjm0sZSkMWw9S1xMm7O28xJukrqT2+Etw2cp5lC2mx5rRgsKW9&#10;ofJxfVoFp8KX52M3290eXSyOl3ZfG3orNR71uxWISH38hv/bJ63gZw5/X9IPkJ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SzfzAAAAA2wAAAA8AAAAAAAAAAAAAAAAA&#10;oQIAAGRycy9kb3ducmV2LnhtbFBLBQYAAAAABAAEAPkAAACOAwAAAAA=&#10;" strokecolor="gray" strokeweight="0"/>
            <v:line id="Line 97" o:spid="_x0000_s1182" style="position:absolute;flip:y;visibility:visible" from="46780,32175" to="46786,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5oZ8AAAADbAAAADwAAAGRycy9kb3ducmV2LnhtbESPQYvCMBSE74L/ITzBm6YqLGs1igii&#10;J0G3eH40z6bYvJQk1vrvzcLCHoeZ+YZZb3vbiI58qB0rmE0zEMSl0zVXCoqfw+QbRIjIGhvHpOBN&#10;Abab4WCNuXYvvlB3jZVIEA45KjAxtrmUoTRkMUxdS5y8u/MWY5K+ktrjK8FtI+dZ9iUt1pwWDLa0&#10;N1Q+rk+r4FT48nzsZrvbo4vF8dLua0NvpcajfrcCEamP/+G/9kkrWC7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eaGfAAAAA2wAAAA8AAAAAAAAAAAAAAAAA&#10;oQIAAGRycy9kb3ducmV2LnhtbFBLBQYAAAAABAAEAPkAAACOAwAAAAA=&#10;" strokecolor="gray" strokeweight="0"/>
            <v:line id="Line 98" o:spid="_x0000_s1183" style="position:absolute;flip:y;visibility:visible" from="47993,32175" to="47999,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wE8AAAADbAAAADwAAAGRycy9kb3ducmV2LnhtbESPQYvCMBSE74L/ITzBm6aKLGs1igii&#10;J0G3eH40z6bYvJQk1vrvzcLCHoeZ+YZZb3vbiI58qB0rmE0zEMSl0zVXCoqfw+QbRIjIGhvHpOBN&#10;Abab4WCNuXYvvlB3jZVIEA45KjAxtrmUoTRkMUxdS5y8u/MWY5K+ktrjK8FtI+dZ9iUt1pwWDLa0&#10;N1Q+rk+r4FT48nzsZrvbo4vF8dLua0NvpcajfrcCEamP/+G/9kkrWC7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38BPAAAAA2wAAAA8AAAAAAAAAAAAAAAAA&#10;oQIAAGRycy9kb3ducmV2LnhtbFBLBQYAAAAABAAEAPkAAACOAwAAAAA=&#10;" strokecolor="gray" strokeweight="0"/>
            <v:line id="Line 99" o:spid="_x0000_s1184" style="position:absolute;flip:y;visibility:visible" from="49206,32175" to="49212,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ViMAAAADbAAAADwAAAGRycy9kb3ducmV2LnhtbESPQYvCMBSE74L/ITzBm6YKLms1igii&#10;J0G3eH40z6bYvJQk1vrvzcLCHoeZ+YZZb3vbiI58qB0rmE0zEMSl0zVXCoqfw+QbRIjIGhvHpOBN&#10;Abab4WCNuXYvvlB3jZVIEA45KjAxtrmUoTRkMUxdS5y8u/MWY5K+ktrjK8FtI+dZ9iUt1pwWDLa0&#10;N1Q+rk+r4FT48nzsZrvbo4vF8dLua0NvpcajfrcCEamP/+G/9kkrWC7g90v6AXL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Y7VYjAAAAA2wAAAA8AAAAAAAAAAAAAAAAA&#10;oQIAAGRycy9kb3ducmV2LnhtbFBLBQYAAAAABAAEAPkAAACOAwAAAAA=&#10;" strokecolor="gray" strokeweight="0"/>
            <v:line id="Line 100" o:spid="_x0000_s1185" style="position:absolute;flip:y;visibility:visible" from="50412,32175" to="50419,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L/8AAAADbAAAADwAAAGRycy9kb3ducmV2LnhtbESPQYvCMBSE74L/ITzBm6buQdxqFBFE&#10;T4Ju8fxonk2xeSlJrPXfbwTB4zAz3zCrTW8b0ZEPtWMFs2kGgrh0uuZKQfG3nyxAhIissXFMCl4U&#10;YLMeDlaYa/fkM3WXWIkE4ZCjAhNjm0sZSkMWw9S1xMm7OW8xJukrqT0+E9w28ifL5tJizWnBYEs7&#10;Q+X98rAKjoUvT4dutr3eu1gczu2uNvRSajzqt0sQkfr4DX/aR63gdw7vL+kH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bpy//AAAAA2wAAAA8AAAAAAAAAAAAAAAAA&#10;oQIAAGRycy9kb3ducmV2LnhtbFBLBQYAAAAABAAEAPkAAACOAwAAAAA=&#10;" strokecolor="gray" strokeweight="0"/>
            <v:line id="Line 101" o:spid="_x0000_s1186" style="position:absolute;flip:y;visibility:visible" from="51625,32175" to="51631,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uZMAAAADbAAAADwAAAGRycy9kb3ducmV2LnhtbESPQYvCMBSE74L/ITzBm6Z6cNdqFBFE&#10;T4Ju8fxonk2xeSlJrPXfm4WFPQ4z8w2z3va2ER35UDtWMJtmIIhLp2uuFBQ/h8k3iBCRNTaOScGb&#10;Amw3w8Eac+1efKHuGiuRIBxyVGBibHMpQ2nIYpi6ljh5d+ctxiR9JbXHV4LbRs6zbCEt1pwWDLa0&#10;N1Q+rk+r4FT48nzsZrvbo4vF8dLua0NvpcajfrcCEamP/+G/9kkrWH7B75f0A+Tm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lbmTAAAAA2wAAAA8AAAAAAAAAAAAAAAAA&#10;oQIAAGRycy9kb3ducmV2LnhtbFBLBQYAAAAABAAEAPkAAACOAwAAAAA=&#10;" strokecolor="gray" strokeweight="0"/>
            <v:line id="Line 102" o:spid="_x0000_s1187" style="position:absolute;flip:y;visibility:visible" from="52838,32175" to="52844,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6Fr4AAADbAAAADwAAAGRycy9kb3ducmV2LnhtbERPTYvCMBC9L/gfwgh726Z6kN1qWkQQ&#10;PQm6xfPQjE2xmZQk1vrvzWFhj4/3vakm24uRfOgcK1hkOQjixumOWwX17/7rG0SIyBp7x6TgRQGq&#10;cvaxwUK7J59pvMRWpBAOBSowMQ6FlKExZDFkbiBO3M15izFB30rt8ZnCbS+Xeb6SFjtODQYH2hlq&#10;7peHVXCsfXM6jIvt9T7G+nAedp2hl1Kf82m7BhFpiv/iP/dRK/hJY9OX9ANk+Q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OvoWvgAAANsAAAAPAAAAAAAAAAAAAAAAAKEC&#10;AABkcnMvZG93bnJldi54bWxQSwUGAAAAAAQABAD5AAAAjAMAAAAA&#10;" strokecolor="gray" strokeweight="0"/>
            <v:line id="Line 103" o:spid="_x0000_s1188" style="position:absolute;flip:y;visibility:visible" from="54051,32175" to="54057,3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ZfjcAAAADbAAAADwAAAGRycy9kb3ducmV2LnhtbESPQYvCMBSE74L/ITxhb5rqQbQaRQTR&#10;k6AWz4/m2RSbl5LEWv+9WVjY4zAz3zDrbW8b0ZEPtWMF00kGgrh0uuZKQXE7jBcgQkTW2DgmBR8K&#10;sN0MB2vMtXvzhbprrESCcMhRgYmxzaUMpSGLYeJa4uQ9nLcYk/SV1B7fCW4bOcuyubRYc1ow2NLe&#10;UPm8vqyCU+HL87Gb7u7PLhbHS7uvDX2U+hn1uxWISH38D/+1T1rBcgm/X9IPkJ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2X43AAAAA2wAAAA8AAAAAAAAAAAAAAAAA&#10;oQIAAGRycy9kb3ducmV2LnhtbFBLBQYAAAAABAAEAPkAAACOAwAAAAA=&#10;" strokecolor="gray" strokeweight="0"/>
            <v:rect id="Rectangle 104" o:spid="_x0000_s1189" style="position:absolute;left:3079;top:31407;width:155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next-textbox:#Rectangle 104;mso-fit-shape-to-text:t" inset="0,0,0,0">
                <w:txbxContent>
                  <w:p w:rsidR="00B72ECE" w:rsidRDefault="00B72ECE" w:rsidP="008E776A">
                    <w:r>
                      <w:rPr>
                        <w:rFonts w:ascii="Arial" w:hAnsi="Arial" w:cs="Arial"/>
                        <w:color w:val="000000"/>
                        <w:sz w:val="22"/>
                        <w:szCs w:val="22"/>
                        <w:lang w:val="en-US"/>
                      </w:rPr>
                      <w:t>$0</w:t>
                    </w:r>
                  </w:p>
                </w:txbxContent>
              </v:textbox>
            </v:rect>
            <v:rect id="Rectangle 105" o:spid="_x0000_s1190" style="position:absolute;left:3079;top:25946;width:155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next-textbox:#Rectangle 105;mso-fit-shape-to-text:t" inset="0,0,0,0">
                <w:txbxContent>
                  <w:p w:rsidR="00B72ECE" w:rsidRDefault="00B72ECE" w:rsidP="008E776A">
                    <w:r>
                      <w:rPr>
                        <w:rFonts w:ascii="Arial" w:hAnsi="Arial" w:cs="Arial"/>
                        <w:color w:val="000000"/>
                        <w:sz w:val="22"/>
                        <w:szCs w:val="22"/>
                        <w:lang w:val="en-US"/>
                      </w:rPr>
                      <w:t>$1</w:t>
                    </w:r>
                  </w:p>
                </w:txbxContent>
              </v:textbox>
            </v:rect>
            <v:rect id="Rectangle 106" o:spid="_x0000_s1191" style="position:absolute;left:3079;top:20466;width:155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next-textbox:#Rectangle 106;mso-fit-shape-to-text:t" inset="0,0,0,0">
                <w:txbxContent>
                  <w:p w:rsidR="00B72ECE" w:rsidRDefault="00B72ECE" w:rsidP="008E776A">
                    <w:r>
                      <w:rPr>
                        <w:rFonts w:ascii="Arial" w:hAnsi="Arial" w:cs="Arial"/>
                        <w:color w:val="000000"/>
                        <w:sz w:val="22"/>
                        <w:szCs w:val="22"/>
                        <w:lang w:val="en-US"/>
                      </w:rPr>
                      <w:t>$2</w:t>
                    </w:r>
                  </w:p>
                </w:txbxContent>
              </v:textbox>
            </v:rect>
            <v:rect id="Rectangle 107" o:spid="_x0000_s1192" style="position:absolute;left:3079;top:14998;width:1556;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next-textbox:#Rectangle 107;mso-fit-shape-to-text:t" inset="0,0,0,0">
                <w:txbxContent>
                  <w:p w:rsidR="00B72ECE" w:rsidRDefault="00B72ECE" w:rsidP="008E776A">
                    <w:r>
                      <w:rPr>
                        <w:rFonts w:ascii="Arial" w:hAnsi="Arial" w:cs="Arial"/>
                        <w:color w:val="000000"/>
                        <w:sz w:val="22"/>
                        <w:szCs w:val="22"/>
                        <w:lang w:val="en-US"/>
                      </w:rPr>
                      <w:t>$3</w:t>
                    </w:r>
                  </w:p>
                </w:txbxContent>
              </v:textbox>
            </v:rect>
            <v:rect id="Rectangle 108" o:spid="_x0000_s1193" style="position:absolute;left:3079;top:9525;width:1556;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next-textbox:#Rectangle 108;mso-fit-shape-to-text:t" inset="0,0,0,0">
                <w:txbxContent>
                  <w:p w:rsidR="00B72ECE" w:rsidRDefault="00B72ECE" w:rsidP="008E776A">
                    <w:r>
                      <w:rPr>
                        <w:rFonts w:ascii="Arial" w:hAnsi="Arial" w:cs="Arial"/>
                        <w:color w:val="000000"/>
                        <w:sz w:val="22"/>
                        <w:szCs w:val="22"/>
                        <w:lang w:val="en-US"/>
                      </w:rPr>
                      <w:t>$4</w:t>
                    </w:r>
                  </w:p>
                </w:txbxContent>
              </v:textbox>
            </v:rect>
            <v:rect id="Rectangle 109" o:spid="_x0000_s1194" style="position:absolute;left:3079;top:4057;width:1556;height:16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next-textbox:#Rectangle 109;mso-fit-shape-to-text:t" inset="0,0,0,0">
                <w:txbxContent>
                  <w:p w:rsidR="00B72ECE" w:rsidRDefault="00B72ECE" w:rsidP="008E776A">
                    <w:r>
                      <w:rPr>
                        <w:rFonts w:ascii="Arial" w:hAnsi="Arial" w:cs="Arial"/>
                        <w:color w:val="000000"/>
                        <w:sz w:val="22"/>
                        <w:szCs w:val="22"/>
                        <w:lang w:val="en-US"/>
                      </w:rPr>
                      <w:t>$5</w:t>
                    </w:r>
                  </w:p>
                </w:txbxContent>
              </v:textbox>
            </v:rect>
            <v:rect id="Rectangle 110" o:spid="_x0000_s1195" style="position:absolute;left:4089;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next-textbox:#Rectangle 110;mso-fit-shape-to-text:t" inset="0,0,0,0">
                <w:txbxContent>
                  <w:p w:rsidR="00B72ECE" w:rsidRDefault="00B72ECE" w:rsidP="008E776A">
                    <w:r>
                      <w:rPr>
                        <w:rFonts w:ascii="Century Gothic" w:hAnsi="Century Gothic" w:cs="Century Gothic"/>
                        <w:color w:val="000000"/>
                        <w:sz w:val="22"/>
                        <w:szCs w:val="22"/>
                        <w:lang w:val="en-US"/>
                      </w:rPr>
                      <w:t>2010</w:t>
                    </w:r>
                  </w:p>
                </w:txbxContent>
              </v:textbox>
            </v:rect>
            <v:rect id="Rectangle 111" o:spid="_x0000_s1196" style="position:absolute;left:10147;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next-textbox:#Rectangle 111;mso-fit-shape-to-text:t" inset="0,0,0,0">
                <w:txbxContent>
                  <w:p w:rsidR="00B72ECE" w:rsidRDefault="00B72ECE" w:rsidP="008E776A">
                    <w:r>
                      <w:rPr>
                        <w:rFonts w:ascii="Century Gothic" w:hAnsi="Century Gothic" w:cs="Century Gothic"/>
                        <w:color w:val="000000"/>
                        <w:sz w:val="22"/>
                        <w:szCs w:val="22"/>
                        <w:lang w:val="en-US"/>
                      </w:rPr>
                      <w:t>2015</w:t>
                    </w:r>
                  </w:p>
                </w:txbxContent>
              </v:textbox>
            </v:rect>
            <v:rect id="Rectangle 112" o:spid="_x0000_s1197" style="position:absolute;left:16211;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next-textbox:#Rectangle 112;mso-fit-shape-to-text:t" inset="0,0,0,0">
                <w:txbxContent>
                  <w:p w:rsidR="00B72ECE" w:rsidRDefault="00B72ECE" w:rsidP="008E776A">
                    <w:r>
                      <w:rPr>
                        <w:rFonts w:ascii="Century Gothic" w:hAnsi="Century Gothic" w:cs="Century Gothic"/>
                        <w:color w:val="000000"/>
                        <w:sz w:val="22"/>
                        <w:szCs w:val="22"/>
                        <w:lang w:val="en-US"/>
                      </w:rPr>
                      <w:t>2020</w:t>
                    </w:r>
                  </w:p>
                </w:txbxContent>
              </v:textbox>
            </v:rect>
            <v:rect id="Rectangle 113" o:spid="_x0000_s1198" style="position:absolute;left:22269;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next-textbox:#Rectangle 113;mso-fit-shape-to-text:t" inset="0,0,0,0">
                <w:txbxContent>
                  <w:p w:rsidR="00B72ECE" w:rsidRDefault="00B72ECE" w:rsidP="008E776A">
                    <w:r>
                      <w:rPr>
                        <w:rFonts w:ascii="Century Gothic" w:hAnsi="Century Gothic" w:cs="Century Gothic"/>
                        <w:color w:val="000000"/>
                        <w:sz w:val="22"/>
                        <w:szCs w:val="22"/>
                        <w:lang w:val="en-US"/>
                      </w:rPr>
                      <w:t>2025</w:t>
                    </w:r>
                  </w:p>
                </w:txbxContent>
              </v:textbox>
            </v:rect>
            <v:rect id="Rectangle 114" o:spid="_x0000_s1199" style="position:absolute;left:28333;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next-textbox:#Rectangle 114;mso-fit-shape-to-text:t" inset="0,0,0,0">
                <w:txbxContent>
                  <w:p w:rsidR="00B72ECE" w:rsidRDefault="00B72ECE" w:rsidP="008E776A">
                    <w:r>
                      <w:rPr>
                        <w:rFonts w:ascii="Century Gothic" w:hAnsi="Century Gothic" w:cs="Century Gothic"/>
                        <w:color w:val="000000"/>
                        <w:sz w:val="22"/>
                        <w:szCs w:val="22"/>
                        <w:lang w:val="en-US"/>
                      </w:rPr>
                      <w:t>2030</w:t>
                    </w:r>
                  </w:p>
                </w:txbxContent>
              </v:textbox>
            </v:rect>
            <v:rect id="Rectangle 115" o:spid="_x0000_s1200" style="position:absolute;left:34391;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next-textbox:#Rectangle 115;mso-fit-shape-to-text:t" inset="0,0,0,0">
                <w:txbxContent>
                  <w:p w:rsidR="00B72ECE" w:rsidRDefault="00B72ECE" w:rsidP="008E776A">
                    <w:r>
                      <w:rPr>
                        <w:rFonts w:ascii="Century Gothic" w:hAnsi="Century Gothic" w:cs="Century Gothic"/>
                        <w:color w:val="000000"/>
                        <w:sz w:val="22"/>
                        <w:szCs w:val="22"/>
                        <w:lang w:val="en-US"/>
                      </w:rPr>
                      <w:t>2035</w:t>
                    </w:r>
                  </w:p>
                </w:txbxContent>
              </v:textbox>
            </v:rect>
            <v:rect id="Rectangle 116" o:spid="_x0000_s1201" style="position:absolute;left:40443;top:33369;width:3098;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next-textbox:#Rectangle 116;mso-fit-shape-to-text:t" inset="0,0,0,0">
                <w:txbxContent>
                  <w:p w:rsidR="00B72ECE" w:rsidRDefault="00B72ECE" w:rsidP="008E776A">
                    <w:r>
                      <w:rPr>
                        <w:rFonts w:ascii="Century Gothic" w:hAnsi="Century Gothic" w:cs="Century Gothic"/>
                        <w:color w:val="000000"/>
                        <w:sz w:val="22"/>
                        <w:szCs w:val="22"/>
                        <w:lang w:val="en-US"/>
                      </w:rPr>
                      <w:t>2040</w:t>
                    </w:r>
                  </w:p>
                </w:txbxContent>
              </v:textbox>
            </v:rect>
            <v:rect id="Rectangle 117" o:spid="_x0000_s1202" style="position:absolute;left:46513;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next-textbox:#Rectangle 117;mso-fit-shape-to-text:t" inset="0,0,0,0">
                <w:txbxContent>
                  <w:p w:rsidR="00B72ECE" w:rsidRDefault="00B72ECE" w:rsidP="008E776A">
                    <w:r>
                      <w:rPr>
                        <w:rFonts w:ascii="Century Gothic" w:hAnsi="Century Gothic" w:cs="Century Gothic"/>
                        <w:color w:val="000000"/>
                        <w:sz w:val="22"/>
                        <w:szCs w:val="22"/>
                        <w:lang w:val="en-US"/>
                      </w:rPr>
                      <w:t>2045</w:t>
                    </w:r>
                  </w:p>
                </w:txbxContent>
              </v:textbox>
            </v:rect>
            <v:rect id="Rectangle 118" o:spid="_x0000_s1203" style="position:absolute;left:52565;top:33369;width:3099;height:171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next-textbox:#Rectangle 118;mso-fit-shape-to-text:t" inset="0,0,0,0">
                <w:txbxContent>
                  <w:p w:rsidR="00B72ECE" w:rsidRDefault="00B72ECE" w:rsidP="008E776A">
                    <w:r>
                      <w:rPr>
                        <w:rFonts w:ascii="Century Gothic" w:hAnsi="Century Gothic" w:cs="Century Gothic"/>
                        <w:color w:val="000000"/>
                        <w:sz w:val="22"/>
                        <w:szCs w:val="22"/>
                        <w:lang w:val="en-US"/>
                      </w:rPr>
                      <w:t>2050</w:t>
                    </w:r>
                  </w:p>
                </w:txbxContent>
              </v:textbox>
            </v:rect>
            <v:rect id="Rectangle 119" o:spid="_x0000_s1204" style="position:absolute;left:8507;top:-6322;width:1714;height:16275;rotation:-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exb8A&#10;AADcAAAADwAAAGRycy9kb3ducmV2LnhtbERPy6rCMBDdC/5DGMGNaKr4rEYRQXR1wed6aMa22ExK&#10;E7X+vREuuJvDec5iVZtCPKlyuWUF/V4EgjixOudUwfm07U5BOI+ssbBMCt7kYLVsNhYYa/viAz2P&#10;PhUhhF2MCjLvy1hKl2Rk0PVsSRy4m60M+gCrVOoKXyHcFHIQRWNpMOfQkGFJm4yS+/FhFIwivJ7e&#10;fxPedIbr8jDz2+tOX5Rqt+r1HISn2v/E/+69DvP7I/g+Ey6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dx7FvwAAANwAAAAPAAAAAAAAAAAAAAAAAJgCAABkcnMvZG93bnJl&#10;di54bWxQSwUGAAAAAAQABAD1AAAAhAMAAAAA&#10;" filled="f" stroked="f">
              <v:textbox style="mso-next-textbox:#Rectangle 119;mso-fit-shape-to-text:t" inset="0,0,0,0">
                <w:txbxContent>
                  <w:p w:rsidR="00B72ECE" w:rsidRDefault="00B72ECE" w:rsidP="008E776A">
                    <w:r>
                      <w:rPr>
                        <w:rFonts w:ascii="Century Gothic" w:hAnsi="Century Gothic" w:cs="Century Gothic"/>
                        <w:color w:val="000000"/>
                        <w:sz w:val="22"/>
                        <w:szCs w:val="22"/>
                        <w:lang w:val="en-US"/>
                      </w:rPr>
                      <w:t>En milliards de dollars US</w:t>
                    </w:r>
                  </w:p>
                </w:txbxContent>
              </v:textbox>
            </v:rect>
            <v:rect id="Rectangle 120" o:spid="_x0000_s1205" style="position:absolute;left:15278;top:35807;width:812;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CDMMA&#10;AADcAAAADwAAAGRycy9kb3ducmV2LnhtbERPzWrCQBC+C32HZQq9iNnEg0p0lVLaUqEgSfsAQ3ZM&#10;gtnZdHdj4tt3CwVv8/H9zu4wmU5cyfnWsoIsSUEQV1a3XCv4/npbbED4gKyxs0wKbuThsH+Y7TDX&#10;duSCrmWoRQxhn6OCJoQ+l9JXDRn0ie2JI3e2zmCI0NVSOxxjuOnkMk1X0mDLsaHBnl4aqi7lYBTM&#10;bz/vxecpLI/FQAUfUzeuX9dKPT1Oz1sQgaZwF/+7P3Scn63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tCDMMAAADcAAAADwAAAAAAAAAAAAAAAACYAgAAZHJzL2Rv&#10;d25yZXYueG1sUEsFBgAAAAAEAAQA9QAAAIgDAAAAAA==&#10;" fillcolor="#0f6982" stroked="f"/>
            <v:rect id="Rectangle 121" o:spid="_x0000_s1206" style="position:absolute;left:15278;top:35807;width:825;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u8IA&#10;AADcAAAADwAAAGRycy9kb3ducmV2LnhtbERPTWvCQBC9F/wPywi9lLrRg0rqKiKIoQhitJ6H7DQJ&#10;Zmdjdk3iv3cLBW/zeJ+zWPWmEi01rrSsYDyKQBBnVpecKziftp9zEM4ja6wsk4IHOVgtB28LjLXt&#10;+Eht6nMRQtjFqKDwvo6ldFlBBt3I1sSB+7WNQR9gk0vdYBfCTSUnUTSVBksODQXWtCkou6Z3o6DL&#10;Du3ltN/Jw8clsXxLbpv051up92G//gLhqfcv8b870WH+eAZ/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W7wgAAANwAAAAPAAAAAAAAAAAAAAAAAJgCAABkcnMvZG93&#10;bnJldi54bWxQSwUGAAAAAAQABAD1AAAAhwMAAAAA&#10;" filled="f" stroked="f"/>
            <v:rect id="Rectangle 122" o:spid="_x0000_s1207" style="position:absolute;left:16414;top:35439;width:3188;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next-textbox:#Rectangle 122;mso-fit-shape-to-text:t" inset="0,0,0,0">
                <w:txbxContent>
                  <w:p w:rsidR="00B72ECE" w:rsidRDefault="00B72ECE" w:rsidP="008E776A">
                    <w:r>
                      <w:rPr>
                        <w:rFonts w:ascii="Arial" w:hAnsi="Arial" w:cs="Arial"/>
                        <w:color w:val="000000"/>
                        <w:sz w:val="22"/>
                        <w:szCs w:val="22"/>
                        <w:lang w:val="en-US"/>
                      </w:rPr>
                      <w:t>Base</w:t>
                    </w:r>
                  </w:p>
                </w:txbxContent>
              </v:textbox>
            </v:rect>
            <v:rect id="Rectangle 123" o:spid="_x0000_s1208" style="position:absolute;left:21297;top:35807;width:813;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ILb8A&#10;AADcAAAADwAAAGRycy9kb3ducmV2LnhtbERPzYrCMBC+L/gOYQRva1phV1uNIoXCHnfVBxiSsa02&#10;k9LEWt/eLAje5uP7nc1utK0YqPeNYwXpPAFBrJ1puFJwOpafKxA+IBtsHZOCB3nYbScfG8yNu/Mf&#10;DYdQiRjCPkcFdQhdLqXXNVn0c9cRR+7seoshwr6Spsd7DLetXCTJt7TYcGyosaOiJn093KyCYe+z&#10;39WjGJMy/SqWmdPlpdVKzabjfg0i0Bje4pf7x8T5aQb/z8QL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KAgtvwAAANwAAAAPAAAAAAAAAAAAAAAAAJgCAABkcnMvZG93bnJl&#10;di54bWxQSwUGAAAAAAQABAD1AAAAhAMAAAAA&#10;" fillcolor="#c48726" stroked="f"/>
            <v:rect id="Rectangle 124" o:spid="_x0000_s1209" style="position:absolute;left:21297;top:35807;width:820;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HcsYA&#10;AADcAAAADwAAAGRycy9kb3ducmV2LnhtbESPT2vCQBDF74V+h2UKvRTd1INIdBURSkMpSOOf85Ad&#10;k2B2Nma3SfrtnUPB2wzvzXu/WW1G16ieulB7NvA+TUARF97WXBo4Hj4mC1AhIltsPJOBPwqwWT8/&#10;rTC1fuAf6vNYKgnhkKKBKsY21ToUFTkMU98Si3bxncMoa1dq2+Eg4a7RsySZa4c1S0OFLe0qKq75&#10;rzMwFPv+fPj+1Pu3c+b5lt12+enLmNeXcbsEFWmMD/P/dWYFfyb4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fHcsYAAADcAAAADwAAAAAAAAAAAAAAAACYAgAAZHJz&#10;L2Rvd25yZXYueG1sUEsFBgAAAAAEAAQA9QAAAIsDAAAAAA==&#10;" filled="f" stroked="f"/>
            <v:rect id="Rectangle 125" o:spid="_x0000_s1210" style="position:absolute;left:22428;top:35439;width:6490;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next-textbox:#Rectangle 125;mso-fit-shape-to-text:t" inset="0,0,0,0">
                <w:txbxContent>
                  <w:p w:rsidR="00B72ECE" w:rsidRDefault="00B72ECE" w:rsidP="008E776A">
                    <w:r>
                      <w:rPr>
                        <w:rFonts w:ascii="Arial" w:hAnsi="Arial" w:cs="Arial"/>
                        <w:color w:val="000000"/>
                        <w:sz w:val="22"/>
                        <w:szCs w:val="22"/>
                        <w:lang w:val="en-US"/>
                      </w:rPr>
                      <w:t>Econ + Ed</w:t>
                    </w:r>
                  </w:p>
                </w:txbxContent>
              </v:textbox>
            </v:rect>
            <v:rect id="Rectangle 126" o:spid="_x0000_s1211" style="position:absolute;left:31883;top:35807;width:813;height:8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MEsAA&#10;AADcAAAADwAAAGRycy9kb3ducmV2LnhtbERPyWrDMBC9B/oPYgq91XJcCMW1EkIg4GPrFJrjYI0X&#10;bI1cSbXdv68Kgdzm8dYpDqsZxUzO95YVbJMUBHFtdc+tgs/L+fkVhA/IGkfLpOCXPBz2D5sCc20X&#10;/qC5Cq2IIexzVNCFMOVS+rojgz6xE3HkGusMhghdK7XDJYabUWZpupMGe44NHU506qgeqh+j4Jy+&#10;zOH7vbEX70saXLa0X9ejUk+P6/ENRKA13MU3d6nj/CyD/2fiB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nnMEsAAAADcAAAADwAAAAAAAAAAAAAAAACYAgAAZHJzL2Rvd25y&#10;ZXYueG1sUEsFBgAAAAAEAAQA9QAAAIUDAAAAAA==&#10;" fillcolor="#993129" stroked="f"/>
            <v:rect id="Rectangle 127" o:spid="_x0000_s1212" style="position:absolute;left:31883;top:35807;width:819;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rect id="Rectangle 128" o:spid="_x0000_s1213" style="position:absolute;left:33014;top:35439;width:11728;height:160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next-textbox:#Rectangle 128;mso-fit-shape-to-text:t" inset="0,0,0,0">
                <w:txbxContent>
                  <w:p w:rsidR="00B72ECE" w:rsidRDefault="00B72ECE" w:rsidP="008E776A">
                    <w:r>
                      <w:rPr>
                        <w:rFonts w:ascii="Arial" w:hAnsi="Arial" w:cs="Arial"/>
                        <w:color w:val="000000"/>
                        <w:sz w:val="22"/>
                        <w:szCs w:val="22"/>
                        <w:lang w:val="en-US"/>
                      </w:rPr>
                      <w:t>Econ + Ed + Santé</w:t>
                    </w:r>
                  </w:p>
                </w:txbxContent>
              </v:textbox>
            </v:rect>
            <w10:wrap type="none"/>
            <w10:anchorlock/>
          </v:group>
        </w:pict>
      </w:r>
    </w:p>
    <w:p w:rsidR="00AB2C57" w:rsidRPr="00633E85" w:rsidRDefault="00AB2C57" w:rsidP="00031E04">
      <w:pPr>
        <w:pStyle w:val="Paragraphedeliste"/>
        <w:numPr>
          <w:ilvl w:val="1"/>
          <w:numId w:val="110"/>
        </w:numPr>
        <w:rPr>
          <w:b/>
          <w:bCs/>
        </w:rPr>
      </w:pPr>
      <w:r w:rsidRPr="00633E85">
        <w:rPr>
          <w:b/>
          <w:bCs/>
        </w:rPr>
        <w:t>Implications</w:t>
      </w:r>
      <w:r w:rsidR="00BE4BA2">
        <w:rPr>
          <w:b/>
          <w:bCs/>
        </w:rPr>
        <w:t xml:space="preserve"> sur l'emploi et le développement</w:t>
      </w:r>
    </w:p>
    <w:p w:rsidR="00AB2C57" w:rsidRPr="008B3BC1" w:rsidRDefault="00AB2C57" w:rsidP="00031E04">
      <w:pPr>
        <w:pStyle w:val="Paragraphedeliste"/>
        <w:numPr>
          <w:ilvl w:val="2"/>
          <w:numId w:val="112"/>
        </w:numPr>
        <w:spacing w:before="120"/>
        <w:ind w:left="1077"/>
        <w:jc w:val="both"/>
        <w:rPr>
          <w:u w:val="single"/>
        </w:rPr>
      </w:pPr>
      <w:r w:rsidRPr="008B3BC1">
        <w:rPr>
          <w:u w:val="single"/>
        </w:rPr>
        <w:t>Emploi et population active</w:t>
      </w:r>
    </w:p>
    <w:p w:rsidR="008E776A" w:rsidRPr="00633E85" w:rsidRDefault="008B3BC1" w:rsidP="00332C4F">
      <w:pPr>
        <w:spacing w:before="120" w:line="276" w:lineRule="auto"/>
        <w:jc w:val="both"/>
      </w:pPr>
      <w:r>
        <w:t>En l'absence de toute intervention sur l'économie, l'éducation et la santé,</w:t>
      </w:r>
      <w:r w:rsidR="008E776A" w:rsidRPr="00633E85">
        <w:t xml:space="preserve"> l’évolution de la population active </w:t>
      </w:r>
      <w:r w:rsidR="00BF5FF5">
        <w:t>serai</w:t>
      </w:r>
      <w:r w:rsidR="008E776A" w:rsidRPr="00633E85">
        <w:t>t pl</w:t>
      </w:r>
      <w:r w:rsidR="00BF5FF5">
        <w:t xml:space="preserve">us rapide que celle du nombre </w:t>
      </w:r>
      <w:r w:rsidR="004A4508">
        <w:t>d’</w:t>
      </w:r>
      <w:r w:rsidR="008E776A" w:rsidRPr="00633E85">
        <w:t xml:space="preserve">emplois. </w:t>
      </w:r>
      <w:r w:rsidR="00BF5FF5">
        <w:t>Selon le modèle de base,</w:t>
      </w:r>
      <w:r w:rsidR="008E776A" w:rsidRPr="00633E85">
        <w:t xml:space="preserve"> la population active passe</w:t>
      </w:r>
      <w:r w:rsidR="00BF5FF5">
        <w:t>rait</w:t>
      </w:r>
      <w:r w:rsidR="008E776A" w:rsidRPr="00633E85">
        <w:t xml:space="preserve"> d’un peu plus de 10 millions </w:t>
      </w:r>
      <w:r w:rsidR="00BF5FF5">
        <w:t xml:space="preserve">d'habitants </w:t>
      </w:r>
      <w:r w:rsidR="008E776A" w:rsidRPr="00633E85">
        <w:t>à un peu plus de 35 mil</w:t>
      </w:r>
      <w:r w:rsidR="00BF5FF5">
        <w:t>lions d’âmes entre 2010 et 2050</w:t>
      </w:r>
      <w:r w:rsidR="004E662F">
        <w:t> </w:t>
      </w:r>
      <w:r w:rsidR="00BF5FF5">
        <w:t>;</w:t>
      </w:r>
      <w:r w:rsidR="008E776A" w:rsidRPr="00633E85">
        <w:t xml:space="preserve"> le nombre d’emploi</w:t>
      </w:r>
      <w:r w:rsidR="00D273EF">
        <w:t>s,</w:t>
      </w:r>
      <w:r w:rsidR="002B6037">
        <w:t xml:space="preserve"> </w:t>
      </w:r>
      <w:r w:rsidR="00BF5FF5">
        <w:t>quant à lui</w:t>
      </w:r>
      <w:r w:rsidR="00D273EF">
        <w:t>,</w:t>
      </w:r>
      <w:r w:rsidR="008E776A" w:rsidRPr="00633E85">
        <w:t xml:space="preserve"> croît</w:t>
      </w:r>
      <w:r w:rsidR="00BF5FF5">
        <w:t>rait</w:t>
      </w:r>
      <w:r w:rsidR="008E776A" w:rsidRPr="00633E85">
        <w:t xml:space="preserve"> plutôt d’environ 7 à 25 millions </w:t>
      </w:r>
      <w:r w:rsidR="00D273EF">
        <w:t>au cours de</w:t>
      </w:r>
      <w:r w:rsidR="008E776A" w:rsidRPr="00633E85">
        <w:t xml:space="preserve"> la même période. Ce scénario qui traduit la situation de statu quo, ne permet</w:t>
      </w:r>
      <w:r w:rsidR="00DF01EE">
        <w:t>trait</w:t>
      </w:r>
      <w:r w:rsidR="008E776A" w:rsidRPr="00633E85">
        <w:t xml:space="preserve"> pas de toute évidence d’atteindre l’émergence</w:t>
      </w:r>
      <w:r w:rsidR="00BF5FF5">
        <w:t xml:space="preserve"> et le développement souhaité du pays</w:t>
      </w:r>
      <w:r w:rsidR="004A4508">
        <w:t xml:space="preserve"> en 2035</w:t>
      </w:r>
      <w:r w:rsidR="00BF5FF5">
        <w:t>.</w:t>
      </w:r>
    </w:p>
    <w:p w:rsidR="00022FFA" w:rsidRDefault="00BF5FF5" w:rsidP="00332C4F">
      <w:pPr>
        <w:spacing w:before="120" w:line="276" w:lineRule="auto"/>
        <w:jc w:val="both"/>
      </w:pPr>
      <w:r>
        <w:t>U</w:t>
      </w:r>
      <w:r w:rsidR="008E776A" w:rsidRPr="00633E85">
        <w:t>ne mise en place des mesures uniquement dans le domaine économique</w:t>
      </w:r>
      <w:r>
        <w:t xml:space="preserve"> réduirait</w:t>
      </w:r>
      <w:r w:rsidR="002B6037">
        <w:t xml:space="preserve"> </w:t>
      </w:r>
      <w:r>
        <w:t xml:space="preserve">déjà </w:t>
      </w:r>
      <w:r w:rsidR="008E776A" w:rsidRPr="00633E85">
        <w:t xml:space="preserve">le gap </w:t>
      </w:r>
      <w:r>
        <w:t>entre</w:t>
      </w:r>
      <w:r w:rsidR="008E776A" w:rsidRPr="00633E85">
        <w:t xml:space="preserve"> la population active et le nombre d’emplois</w:t>
      </w:r>
      <w:r>
        <w:t xml:space="preserve"> (modèle 1).</w:t>
      </w:r>
      <w:r w:rsidR="008E776A" w:rsidRPr="00633E85">
        <w:t xml:space="preserve"> Si ce scénario révèle une diminution du chômage, il n’endigue</w:t>
      </w:r>
      <w:r w:rsidR="00DF01EE">
        <w:t>rait</w:t>
      </w:r>
      <w:r w:rsidR="008E776A" w:rsidRPr="00633E85">
        <w:t xml:space="preserve"> pas </w:t>
      </w:r>
      <w:r w:rsidR="00022FFA" w:rsidRPr="00633E85">
        <w:t xml:space="preserve">toutefois </w:t>
      </w:r>
      <w:r w:rsidR="008E776A" w:rsidRPr="00633E85">
        <w:t>la rapide croissance de la population active</w:t>
      </w:r>
      <w:r w:rsidR="00022FFA">
        <w:t>, synonyme de précarité des emplois à long terme.</w:t>
      </w:r>
    </w:p>
    <w:p w:rsidR="008E776A" w:rsidRPr="00633E85" w:rsidRDefault="00022FFA" w:rsidP="00332C4F">
      <w:pPr>
        <w:spacing w:before="120" w:line="276" w:lineRule="auto"/>
        <w:jc w:val="both"/>
      </w:pPr>
      <w:r>
        <w:t>La prise en compte des trois variables économie, éducation et santé (modèle 3)</w:t>
      </w:r>
      <w:r w:rsidR="008E776A" w:rsidRPr="00633E85">
        <w:t xml:space="preserve">, </w:t>
      </w:r>
      <w:r>
        <w:t>semblerait offrir la meilleure solution pour un plein emploi durable</w:t>
      </w:r>
      <w:r w:rsidR="004E662F">
        <w:t> </w:t>
      </w:r>
      <w:r>
        <w:t xml:space="preserve">; </w:t>
      </w:r>
      <w:r w:rsidR="008E776A" w:rsidRPr="00633E85">
        <w:t>non seulement le gap entre le nombre d’emploi</w:t>
      </w:r>
      <w:r w:rsidR="00882349">
        <w:t>s</w:t>
      </w:r>
      <w:r w:rsidR="008E776A" w:rsidRPr="00633E85">
        <w:t xml:space="preserve"> et la population active s’amenuise</w:t>
      </w:r>
      <w:r w:rsidR="00882349">
        <w:t>rait</w:t>
      </w:r>
      <w:r w:rsidR="008E776A" w:rsidRPr="00633E85">
        <w:t xml:space="preserve"> rapidement, mais la croissance de ces deux phénomènes </w:t>
      </w:r>
      <w:r w:rsidR="00882349">
        <w:t>serait</w:t>
      </w:r>
      <w:r w:rsidR="002B6037">
        <w:t xml:space="preserve"> </w:t>
      </w:r>
      <w:r w:rsidR="008E776A" w:rsidRPr="00633E85">
        <w:t xml:space="preserve">modérée. </w:t>
      </w:r>
      <w:r>
        <w:t>L</w:t>
      </w:r>
      <w:r w:rsidR="008E776A" w:rsidRPr="00633E85">
        <w:t xml:space="preserve">e scénario de l’atteinte du dividende démographique serait </w:t>
      </w:r>
      <w:r>
        <w:t xml:space="preserve">ainsi </w:t>
      </w:r>
      <w:r w:rsidR="008E776A" w:rsidRPr="00633E85">
        <w:t>plus avantageux que tous les autres</w:t>
      </w:r>
      <w:r w:rsidR="004E662F">
        <w:t xml:space="preserve"> (figure 1</w:t>
      </w:r>
      <w:r w:rsidR="0016681F">
        <w:t>3</w:t>
      </w:r>
      <w:r w:rsidR="004E662F">
        <w:t>)</w:t>
      </w:r>
      <w:r w:rsidR="008E776A" w:rsidRPr="00633E85">
        <w:t xml:space="preserve">, </w:t>
      </w:r>
      <w:r>
        <w:t xml:space="preserve">et </w:t>
      </w:r>
      <w:r w:rsidR="008E776A" w:rsidRPr="00633E85">
        <w:t>notamment que le scénario de base comme l’atteste cet extrait tiré d’un rapport de l’Agence Française de Développement : « </w:t>
      </w:r>
      <w:r w:rsidR="008E776A" w:rsidRPr="00633E85">
        <w:rPr>
          <w:i/>
          <w:iCs/>
        </w:rPr>
        <w:t>Dans l’hypothèse où la baisse de la fécondité se poursuit à son rythme actuel, les cohortes de</w:t>
      </w:r>
      <w:r w:rsidR="00D273EF">
        <w:rPr>
          <w:i/>
          <w:iCs/>
        </w:rPr>
        <w:t>s</w:t>
      </w:r>
      <w:r w:rsidR="008E776A" w:rsidRPr="00633E85">
        <w:rPr>
          <w:i/>
          <w:iCs/>
        </w:rPr>
        <w:t xml:space="preserve"> jeunes vont tout de même continuer d’augmenter significativement durant les prochaines décennies, aggravant les risques </w:t>
      </w:r>
      <w:r w:rsidR="008E776A" w:rsidRPr="00633E85">
        <w:rPr>
          <w:i/>
          <w:iCs/>
        </w:rPr>
        <w:lastRenderedPageBreak/>
        <w:t xml:space="preserve">associés à une jeunesse toujours plus nombreuse souffrant des effets d’un sous-emploi et d’un chômage massifs. </w:t>
      </w:r>
      <w:r w:rsidR="00D273EF">
        <w:rPr>
          <w:i/>
          <w:iCs/>
        </w:rPr>
        <w:t>À</w:t>
      </w:r>
      <w:r w:rsidR="008E776A" w:rsidRPr="00633E85">
        <w:rPr>
          <w:i/>
          <w:iCs/>
        </w:rPr>
        <w:t xml:space="preserve"> l’inverse, l’accélération de la baisse de la fécondité africaine produirait par effet de ricochet une chute des taux de dépendance (rapport inactifs/actifs), autrement dit l’apparition d’un « dividende démographique </w:t>
      </w:r>
      <w:proofErr w:type="gramStart"/>
      <w:r w:rsidR="008E776A" w:rsidRPr="00633E85">
        <w:rPr>
          <w:i/>
          <w:iCs/>
        </w:rPr>
        <w:t>»</w:t>
      </w:r>
      <w:r w:rsidR="00116899" w:rsidRPr="00116899">
        <w:rPr>
          <w:iCs/>
        </w:rPr>
        <w:t>(</w:t>
      </w:r>
      <w:proofErr w:type="gramEnd"/>
      <w:r w:rsidR="00116899" w:rsidRPr="00116899">
        <w:rPr>
          <w:iCs/>
        </w:rPr>
        <w:t>Beaujeu et al., 2011)</w:t>
      </w:r>
      <w:r w:rsidR="008E776A" w:rsidRPr="00882349">
        <w:t>.</w:t>
      </w:r>
    </w:p>
    <w:p w:rsidR="00A703E6" w:rsidRDefault="00CE2B53" w:rsidP="00274B60">
      <w:pPr>
        <w:pStyle w:val="Lgende"/>
        <w:spacing w:before="240"/>
      </w:pPr>
      <w:bookmarkStart w:id="59" w:name="_Toc474830048"/>
      <w:r>
        <w:t xml:space="preserve">Figure </w:t>
      </w:r>
      <w:fldSimple w:instr=" SEQ Figure \* ARABIC ">
        <w:r>
          <w:rPr>
            <w:noProof/>
          </w:rPr>
          <w:t>13</w:t>
        </w:r>
      </w:fldSimple>
      <w:r>
        <w:t xml:space="preserve">: </w:t>
      </w:r>
      <w:r w:rsidRPr="0014173F">
        <w:t>Évolution simultanée de l’emploi et de la population active</w:t>
      </w:r>
      <w:r w:rsidR="00D273EF">
        <w:t xml:space="preserve"> au Cameroun</w:t>
      </w:r>
      <w:r w:rsidRPr="0014173F">
        <w:t>.</w:t>
      </w:r>
    </w:p>
    <w:bookmarkEnd w:id="59"/>
    <w:p w:rsidR="008E776A" w:rsidRPr="00AB68CF" w:rsidRDefault="008E776A" w:rsidP="00AB68CF">
      <w:pPr>
        <w:pStyle w:val="Lgende"/>
        <w:spacing w:before="240" w:after="0" w:afterAutospacing="0"/>
        <w:rPr>
          <w:b/>
          <w:bCs/>
        </w:rPr>
      </w:pPr>
    </w:p>
    <w:p w:rsidR="008E776A" w:rsidRDefault="001B585D" w:rsidP="008E776A">
      <w:pPr>
        <w:ind w:left="360"/>
      </w:pPr>
      <w:r w:rsidRPr="001B585D">
        <w:rPr>
          <w:noProof/>
          <w:lang w:val="fr-CA" w:eastAsia="fr-CA"/>
        </w:rPr>
        <w:pict>
          <v:shapetype id="_x0000_t202" coordsize="21600,21600" o:spt="202" path="m,l,21600r21600,l21600,xe">
            <v:stroke joinstyle="miter"/>
            <v:path gradientshapeok="t" o:connecttype="rect"/>
          </v:shapetype>
          <v:shape id="Zone de texte 76" o:spid="_x0000_s1215" type="#_x0000_t202" style="position:absolute;left:0;text-align:left;margin-left:221.6pt;margin-top:11.25pt;width:222.5pt;height:176.3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" stroked="f" strokeweight=".5pt">
            <v:textbox style="mso-next-textbox:#Zone de texte 76">
              <w:txbxContent>
                <w:p w:rsidR="00B72ECE" w:rsidRDefault="00B72ECE" w:rsidP="008E776A">
                  <w:r w:rsidRPr="00943988">
                    <w:rPr>
                      <w:noProof/>
                    </w:rPr>
                    <w:drawing>
                      <wp:inline distT="0" distB="0" distL="0" distR="0">
                        <wp:extent cx="2636520" cy="2095500"/>
                        <wp:effectExtent l="0" t="0" r="0" b="0"/>
                        <wp:docPr id="1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xbxContent>
            </v:textbox>
          </v:shape>
        </w:pict>
      </w:r>
      <w:r w:rsidRPr="001B585D">
        <w:rPr>
          <w:noProof/>
          <w:lang w:val="fr-CA" w:eastAsia="fr-CA"/>
        </w:rPr>
        <w:pict>
          <v:shape id="Zone de texte 74" o:spid="_x0000_s1214" type="#_x0000_t202" style="position:absolute;left:0;text-align:left;margin-left:-22.15pt;margin-top:11.15pt;width:229.75pt;height:177.15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" stroked="f" strokeweight=".5pt">
            <v:textbox style="mso-next-textbox:#Zone de texte 74">
              <w:txbxContent>
                <w:p w:rsidR="00B72ECE" w:rsidRDefault="00B72ECE" w:rsidP="008E776A">
                  <w:r w:rsidRPr="00943988">
                    <w:rPr>
                      <w:noProof/>
                    </w:rPr>
                    <w:drawing>
                      <wp:inline distT="0" distB="0" distL="0" distR="0">
                        <wp:extent cx="2732405" cy="2171700"/>
                        <wp:effectExtent l="0" t="0" r="0" b="0"/>
                        <wp:docPr id="5"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xbxContent>
            </v:textbox>
            <w10:wrap anchorx="margin"/>
          </v:shape>
        </w:pict>
      </w: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8E776A" w:rsidRDefault="008E776A" w:rsidP="008E776A">
      <w:pPr>
        <w:ind w:left="360"/>
      </w:pPr>
    </w:p>
    <w:p w:rsidR="00A703E6" w:rsidRDefault="00A703E6">
      <w:pPr>
        <w:pStyle w:val="Lgende"/>
      </w:pPr>
      <w:bookmarkStart w:id="60" w:name="_Toc474830049"/>
    </w:p>
    <w:p w:rsidR="00A703E6" w:rsidRDefault="00CE2B53" w:rsidP="00CE2B53">
      <w:pPr>
        <w:pStyle w:val="Lgende"/>
      </w:pPr>
      <w:r>
        <w:t xml:space="preserve">Figure </w:t>
      </w:r>
      <w:fldSimple w:instr=" SEQ Figure \* ARABIC ">
        <w:r>
          <w:rPr>
            <w:noProof/>
          </w:rPr>
          <w:t>14</w:t>
        </w:r>
      </w:fldSimple>
      <w:r>
        <w:t xml:space="preserve">: </w:t>
      </w:r>
      <w:r w:rsidRPr="00923156">
        <w:t>Évolution du gap entre la population active et l’emploi</w:t>
      </w:r>
      <w:r w:rsidR="004C09D6">
        <w:t xml:space="preserve"> au Cameroun</w:t>
      </w:r>
      <w:r w:rsidRPr="00923156">
        <w:t>.</w:t>
      </w:r>
    </w:p>
    <w:p w:rsidR="004E662F" w:rsidRDefault="004E662F" w:rsidP="007A63AD">
      <w:pPr>
        <w:pStyle w:val="Lgende"/>
        <w:spacing w:before="360" w:after="0" w:afterAutospacing="0"/>
        <w:rPr>
          <w:b/>
          <w:bCs/>
        </w:rPr>
      </w:pPr>
    </w:p>
    <w:bookmarkEnd w:id="60"/>
    <w:p w:rsidR="008E776A" w:rsidRDefault="00943988" w:rsidP="008E776A">
      <w:pPr>
        <w:ind w:left="360"/>
      </w:pPr>
      <w:r w:rsidRPr="00943988">
        <w:rPr>
          <w:noProof/>
        </w:rPr>
        <w:drawing>
          <wp:inline distT="0" distB="0" distL="0" distR="0">
            <wp:extent cx="5046453" cy="3441940"/>
            <wp:effectExtent l="0" t="0" r="0" b="0"/>
            <wp:docPr id="1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74B60" w:rsidRDefault="00274B60">
      <w:r>
        <w:br w:type="page"/>
      </w:r>
    </w:p>
    <w:p w:rsidR="008E776A" w:rsidRDefault="007A63AD" w:rsidP="007A63AD">
      <w:pPr>
        <w:spacing w:before="120" w:line="276" w:lineRule="auto"/>
        <w:jc w:val="both"/>
      </w:pPr>
      <w:r w:rsidRPr="00633E85">
        <w:lastRenderedPageBreak/>
        <w:t xml:space="preserve">En </w:t>
      </w:r>
      <w:r>
        <w:t>effet</w:t>
      </w:r>
      <w:r w:rsidRPr="00633E85">
        <w:t xml:space="preserve">, le gap entre la population active et le nombre d’emplois au sein d’un pays, évolue dans le même sens que le taux de dépendance économique. </w:t>
      </w:r>
      <w:r w:rsidR="000A2B1A">
        <w:t>La</w:t>
      </w:r>
      <w:r>
        <w:t xml:space="preserve"> réduction du gap entre la population active et les emplois détermine, lorsqu'il s'annule, le point d'ouverture de la fenêtre d'opportunité pour le dividende démographique. L</w:t>
      </w:r>
      <w:r w:rsidRPr="00633E85">
        <w:t>es courbes</w:t>
      </w:r>
      <w:r>
        <w:t xml:space="preserve"> de gap correspondant aux différents</w:t>
      </w:r>
      <w:r w:rsidRPr="00633E85">
        <w:t xml:space="preserve"> scénarii </w:t>
      </w:r>
      <w:r>
        <w:t xml:space="preserve">(à l'exception du modèle de base) </w:t>
      </w:r>
      <w:r w:rsidRPr="00633E85">
        <w:t>ont la même allure</w:t>
      </w:r>
      <w:r w:rsidR="002B6037">
        <w:t xml:space="preserve"> </w:t>
      </w:r>
      <w:r>
        <w:t>(</w:t>
      </w:r>
      <w:r w:rsidR="004E662F">
        <w:t>figure 1</w:t>
      </w:r>
      <w:r w:rsidR="00BF1076">
        <w:t>4</w:t>
      </w:r>
      <w:r>
        <w:t>)</w:t>
      </w:r>
      <w:r w:rsidR="00DF01EE">
        <w:t> </w:t>
      </w:r>
      <w:r w:rsidRPr="00633E85">
        <w:t>; traduisant chacune d’elles une diminution du gap entre la population active et le nombre d’emplois. Le g</w:t>
      </w:r>
      <w:r>
        <w:t>ap se réduit plus rapidement pour s'annuler vers 2021 pour le modèle 3 (économie, éducation et santé), 2024 pour le modèle 2 (économie et éducation), et enfin 2026 pour le modèle 1 (économie). Ces résultats confirment (à l'exception peut-être du modèle 1) ceux déjà obtenu</w:t>
      </w:r>
      <w:r w:rsidR="000A2B1A">
        <w:t>s</w:t>
      </w:r>
      <w:r w:rsidR="00CE2B53">
        <w:t xml:space="preserve"> au point 5.1 </w:t>
      </w:r>
      <w:r>
        <w:t>avec la prise en compte uniquement de l'évolution des taux de dépendance. On pourrait donc conclure ici que la fenêtre du dividende démographique pour le Cameroun s'ouvrira</w:t>
      </w:r>
      <w:r w:rsidR="00DF01EE">
        <w:t>it</w:t>
      </w:r>
      <w:r>
        <w:t xml:space="preserve"> entre 2020 et 2027, si toutes les conditions préalables sont mises en place dès maintenant.</w:t>
      </w:r>
    </w:p>
    <w:p w:rsidR="008E776A" w:rsidRPr="00D35C67" w:rsidRDefault="008E776A" w:rsidP="00031E04">
      <w:pPr>
        <w:pStyle w:val="Paragraphedeliste"/>
        <w:numPr>
          <w:ilvl w:val="2"/>
          <w:numId w:val="113"/>
        </w:numPr>
        <w:spacing w:before="120"/>
        <w:rPr>
          <w:bCs/>
          <w:u w:val="single"/>
        </w:rPr>
      </w:pPr>
      <w:r w:rsidRPr="00D35C67">
        <w:rPr>
          <w:bCs/>
          <w:u w:val="single"/>
        </w:rPr>
        <w:t xml:space="preserve">Indice de </w:t>
      </w:r>
      <w:r w:rsidR="002433BD">
        <w:rPr>
          <w:bCs/>
          <w:u w:val="single"/>
        </w:rPr>
        <w:t>D</w:t>
      </w:r>
      <w:r w:rsidRPr="00D35C67">
        <w:rPr>
          <w:bCs/>
          <w:u w:val="single"/>
        </w:rPr>
        <w:t xml:space="preserve">éveloppement </w:t>
      </w:r>
      <w:r w:rsidR="002433BD">
        <w:rPr>
          <w:bCs/>
          <w:u w:val="single"/>
        </w:rPr>
        <w:t>H</w:t>
      </w:r>
      <w:r w:rsidRPr="00D35C67">
        <w:rPr>
          <w:bCs/>
          <w:u w:val="single"/>
        </w:rPr>
        <w:t>umain</w:t>
      </w:r>
    </w:p>
    <w:p w:rsidR="008E776A" w:rsidRDefault="00B17DF2" w:rsidP="00D35C67">
      <w:pPr>
        <w:spacing w:before="120" w:line="276" w:lineRule="auto"/>
        <w:jc w:val="both"/>
      </w:pPr>
      <w:r w:rsidRPr="00B17DF2">
        <w:rPr>
          <w:lang w:val="fr-CA"/>
        </w:rPr>
        <w:t xml:space="preserve">L'indicateur de développement humain </w:t>
      </w:r>
      <w:r w:rsidRPr="00633E85">
        <w:t xml:space="preserve">(IDH) </w:t>
      </w:r>
      <w:r w:rsidRPr="00B17DF2">
        <w:rPr>
          <w:lang w:val="fr-CA"/>
        </w:rPr>
        <w:t>mesure le niveau moyen auquel se trouve un pays donné selon trois critères essentiel</w:t>
      </w:r>
      <w:r>
        <w:rPr>
          <w:lang w:val="fr-CA"/>
        </w:rPr>
        <w:t>s du développement humain </w:t>
      </w:r>
      <w:r w:rsidRPr="00B17DF2">
        <w:rPr>
          <w:lang w:val="fr-CA"/>
        </w:rPr>
        <w:t>: longévité</w:t>
      </w:r>
      <w:proofErr w:type="gramStart"/>
      <w:r w:rsidRPr="00B17DF2">
        <w:rPr>
          <w:lang w:val="fr-CA"/>
        </w:rPr>
        <w:t>,</w:t>
      </w:r>
      <w:proofErr w:type="gramEnd"/>
      <w:r w:rsidR="001B585D">
        <w:fldChar w:fldCharType="begin"/>
      </w:r>
      <w:r w:rsidR="001B585D">
        <w:instrText>HYPERLINK "http://www.toupie.org/Dictionnaire/Instruction.htm"</w:instrText>
      </w:r>
      <w:r w:rsidR="001B585D">
        <w:fldChar w:fldCharType="separate"/>
      </w:r>
      <w:r w:rsidRPr="00CE2B53">
        <w:t>instruction</w:t>
      </w:r>
      <w:r w:rsidR="001B585D">
        <w:fldChar w:fldCharType="end"/>
      </w:r>
      <w:r w:rsidRPr="00B17DF2">
        <w:rPr>
          <w:lang w:val="fr-CA"/>
        </w:rPr>
        <w:t>et conditions de vie.</w:t>
      </w:r>
      <w:r w:rsidR="008E776A" w:rsidRPr="00633E85">
        <w:t xml:space="preserve">Nonobstant le fait que </w:t>
      </w:r>
      <w:r w:rsidR="009B5ECE">
        <w:t xml:space="preserve">l’IDH </w:t>
      </w:r>
      <w:r w:rsidR="008E776A" w:rsidRPr="00633E85">
        <w:t>soit un indicateur sujet à discussion, il n’en demeure pas moins qu’il reste le plus utilisé pour mesurer les performances socio-économiques des pays. Selon les estimations des Nations Unies, la valeur de cet indicateur au Cameroun était</w:t>
      </w:r>
      <w:r w:rsidR="00D35C67">
        <w:t>,</w:t>
      </w:r>
      <w:r w:rsidR="008E776A" w:rsidRPr="00633E85">
        <w:t xml:space="preserve"> en 2010</w:t>
      </w:r>
      <w:r w:rsidR="00D35C67">
        <w:t>,</w:t>
      </w:r>
      <w:r w:rsidR="008E776A" w:rsidRPr="00633E85">
        <w:t xml:space="preserve"> sensiblement égale à 0,5. </w:t>
      </w:r>
      <w:r w:rsidR="004E662F" w:rsidRPr="00633E85">
        <w:t>L</w:t>
      </w:r>
      <w:r w:rsidR="004E662F">
        <w:t>a</w:t>
      </w:r>
      <w:r w:rsidR="002B6037">
        <w:t xml:space="preserve"> </w:t>
      </w:r>
      <w:r w:rsidR="004E662F">
        <w:t>figure 1</w:t>
      </w:r>
      <w:r w:rsidR="00BF1076">
        <w:t>5</w:t>
      </w:r>
      <w:r w:rsidR="008E776A" w:rsidRPr="00633E85">
        <w:t xml:space="preserve"> révèle que le scénario de base est l’unique qui affiche une évolution décroissante de l’IDH entre 2010 et 2050. Autrement dit, si le Cameroun ne s’engage pas en vue du bénéfice du dividende démographique, toutes choses étant égales par ailleurs, il régresserait sur le plan socio-économique dans les 35 prochaines années. Car, son IDH passerait respectivement de 0,51 en 2010 à environ 0,49 en 2050 (même valeur 0,49 en 2035).</w:t>
      </w:r>
    </w:p>
    <w:p w:rsidR="00CE2B53" w:rsidRPr="00633E85" w:rsidRDefault="00CE2B53" w:rsidP="00274B60">
      <w:pPr>
        <w:pStyle w:val="Lgende"/>
        <w:spacing w:after="100"/>
      </w:pPr>
      <w:r>
        <w:t xml:space="preserve">Figure </w:t>
      </w:r>
      <w:fldSimple w:instr=" SEQ Figure \* ARABIC ">
        <w:r>
          <w:rPr>
            <w:noProof/>
          </w:rPr>
          <w:t>15</w:t>
        </w:r>
      </w:fldSimple>
      <w:r>
        <w:t xml:space="preserve">: </w:t>
      </w:r>
      <w:r w:rsidRPr="0085308B">
        <w:t>Évolution de l’Indice de Développement Humain</w:t>
      </w:r>
      <w:r w:rsidR="004C09D6">
        <w:t xml:space="preserve"> au Cameroun</w:t>
      </w:r>
      <w:r w:rsidRPr="0085308B">
        <w:t>.</w:t>
      </w:r>
    </w:p>
    <w:p w:rsidR="008E776A" w:rsidRDefault="00EB2DAD" w:rsidP="008E776A">
      <w:r w:rsidRPr="00EB2DAD">
        <w:rPr>
          <w:noProof/>
        </w:rPr>
        <w:drawing>
          <wp:inline distT="0" distB="0" distL="0" distR="0">
            <wp:extent cx="5619310" cy="2942492"/>
            <wp:effectExtent l="0" t="0" r="440" b="0"/>
            <wp:docPr id="15"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60D47" w:rsidRDefault="00B60D47" w:rsidP="00B60D47">
      <w:pPr>
        <w:spacing w:before="120" w:line="276" w:lineRule="auto"/>
        <w:jc w:val="both"/>
      </w:pPr>
      <w:r w:rsidRPr="00633E85">
        <w:lastRenderedPageBreak/>
        <w:t xml:space="preserve">Certes les trois autres scénarii révèlent une évolution à la hausse de l’IDH sur la même période (2010-2050), néanmoins le scénario de l’atteinte du dividende démographique </w:t>
      </w:r>
      <w:proofErr w:type="spellStart"/>
      <w:r w:rsidR="00DF01EE">
        <w:t>serait</w:t>
      </w:r>
      <w:r w:rsidRPr="00633E85">
        <w:t>de</w:t>
      </w:r>
      <w:proofErr w:type="spellEnd"/>
      <w:r w:rsidRPr="00633E85">
        <w:t xml:space="preserve"> loin le plus avantageux pour le Cameroun, puisque c’est le scénario qui affiche la plus grande hausse de l’IDH, variant alors de 0,51 en 2010 à 0,78 en 2050, en passant par 0,72 en 2035. Les pays dont la valeur de l’IDH est comprise entre 0,75 et 0,</w:t>
      </w:r>
      <w:r w:rsidR="00DC4875">
        <w:t>95</w:t>
      </w:r>
      <w:r w:rsidRPr="00633E85">
        <w:t>sont en majorité les pays développés ou émergents. En d’autres termes, le Cameroun serait émergent dans un proche avenir, s’il opte pour l’atteinte du dividende démographique.</w:t>
      </w:r>
    </w:p>
    <w:p w:rsidR="008E776A" w:rsidRPr="00B60D47" w:rsidRDefault="008E776A" w:rsidP="00031E04">
      <w:pPr>
        <w:pStyle w:val="Paragraphedeliste"/>
        <w:numPr>
          <w:ilvl w:val="2"/>
          <w:numId w:val="114"/>
        </w:numPr>
        <w:spacing w:before="120"/>
        <w:rPr>
          <w:bCs/>
          <w:u w:val="single"/>
        </w:rPr>
      </w:pPr>
      <w:r w:rsidRPr="00B60D47">
        <w:rPr>
          <w:bCs/>
          <w:u w:val="single"/>
        </w:rPr>
        <w:t>Classement selon l’</w:t>
      </w:r>
      <w:r w:rsidR="002433BD">
        <w:rPr>
          <w:bCs/>
          <w:u w:val="single"/>
        </w:rPr>
        <w:t>I</w:t>
      </w:r>
      <w:r w:rsidRPr="00B60D47">
        <w:rPr>
          <w:bCs/>
          <w:u w:val="single"/>
        </w:rPr>
        <w:t xml:space="preserve">ndice de </w:t>
      </w:r>
      <w:r w:rsidR="002433BD">
        <w:rPr>
          <w:bCs/>
          <w:u w:val="single"/>
        </w:rPr>
        <w:t>D</w:t>
      </w:r>
      <w:r w:rsidRPr="00B60D47">
        <w:rPr>
          <w:bCs/>
          <w:u w:val="single"/>
        </w:rPr>
        <w:t xml:space="preserve">éveloppement </w:t>
      </w:r>
      <w:r w:rsidR="002433BD">
        <w:rPr>
          <w:bCs/>
          <w:u w:val="single"/>
        </w:rPr>
        <w:t>H</w:t>
      </w:r>
      <w:r w:rsidRPr="00B60D47">
        <w:rPr>
          <w:bCs/>
          <w:u w:val="single"/>
        </w:rPr>
        <w:t>umain</w:t>
      </w:r>
    </w:p>
    <w:p w:rsidR="00CE2B53" w:rsidRDefault="008E776A" w:rsidP="008B490D">
      <w:pPr>
        <w:tabs>
          <w:tab w:val="left" w:pos="5355"/>
        </w:tabs>
        <w:spacing w:before="120" w:line="276" w:lineRule="auto"/>
        <w:jc w:val="both"/>
      </w:pPr>
      <w:r w:rsidRPr="00633E85">
        <w:t>D’après le rapport du Programme des Nations Unies pour le Développement</w:t>
      </w:r>
      <w:r w:rsidR="004C09D6">
        <w:t xml:space="preserve"> (PNUD)</w:t>
      </w:r>
      <w:r w:rsidRPr="00633E85">
        <w:t xml:space="preserve"> de 2011, </w:t>
      </w:r>
      <w:r w:rsidR="00B60D47">
        <w:t>le Cameroun</w:t>
      </w:r>
      <w:r w:rsidRPr="00633E85">
        <w:t xml:space="preserve"> occupait alors le 131</w:t>
      </w:r>
      <w:r w:rsidR="004C09D6">
        <w:rPr>
          <w:vertAlign w:val="superscript"/>
        </w:rPr>
        <w:t>ème</w:t>
      </w:r>
      <w:r w:rsidRPr="00633E85">
        <w:t xml:space="preserve">rang mondial sur 169. </w:t>
      </w:r>
      <w:r w:rsidR="002433BD" w:rsidRPr="00633E85">
        <w:t>L</w:t>
      </w:r>
      <w:r w:rsidR="002433BD">
        <w:t>a figure 1</w:t>
      </w:r>
      <w:r w:rsidR="00BF1076">
        <w:t>6</w:t>
      </w:r>
      <w:r w:rsidRPr="00633E85">
        <w:t>révèle que le Cameroun occuperait en 2050 respectivement la 120</w:t>
      </w:r>
      <w:r w:rsidR="004C09D6">
        <w:rPr>
          <w:vertAlign w:val="superscript"/>
        </w:rPr>
        <w:t>ème</w:t>
      </w:r>
      <w:r w:rsidRPr="00633E85">
        <w:t xml:space="preserve"> place, 105</w:t>
      </w:r>
      <w:r w:rsidRPr="00633E85">
        <w:rPr>
          <w:vertAlign w:val="superscript"/>
        </w:rPr>
        <w:t>e</w:t>
      </w:r>
      <w:r w:rsidRPr="00633E85">
        <w:t xml:space="preserve"> place, la 59</w:t>
      </w:r>
      <w:r w:rsidR="004C09D6">
        <w:rPr>
          <w:vertAlign w:val="superscript"/>
        </w:rPr>
        <w:t>ème</w:t>
      </w:r>
      <w:r w:rsidRPr="00633E85">
        <w:t xml:space="preserve"> place et enfin la 47</w:t>
      </w:r>
      <w:r w:rsidR="004C09D6">
        <w:rPr>
          <w:vertAlign w:val="superscript"/>
        </w:rPr>
        <w:t>ème</w:t>
      </w:r>
      <w:r w:rsidRPr="00633E85">
        <w:t xml:space="preserve"> place </w:t>
      </w:r>
      <w:r w:rsidR="00B60D47">
        <w:t xml:space="preserve">au </w:t>
      </w:r>
      <w:r w:rsidRPr="00633E85">
        <w:t xml:space="preserve">monde, </w:t>
      </w:r>
      <w:r w:rsidR="00B60D47">
        <w:t xml:space="preserve">s'il </w:t>
      </w:r>
      <w:r w:rsidRPr="00633E85">
        <w:t>opta</w:t>
      </w:r>
      <w:r w:rsidR="00B60D47">
        <w:t>i</w:t>
      </w:r>
      <w:r w:rsidRPr="00633E85">
        <w:t xml:space="preserve">t respectivement pour </w:t>
      </w:r>
      <w:r w:rsidR="00B60D47">
        <w:t>l'un ou l'autre d</w:t>
      </w:r>
      <w:r w:rsidRPr="00633E85">
        <w:t xml:space="preserve">es scénarii de base (statu quo), scénario 1, scénario 2 et enfin le scénario </w:t>
      </w:r>
      <w:r w:rsidR="00B60D47">
        <w:t xml:space="preserve">3 ou </w:t>
      </w:r>
      <w:r w:rsidRPr="00633E85">
        <w:t xml:space="preserve">de l’atteinte du dividende démographique. Ce classement confirme bien qu’en optant pour le scénario de l’atteinte du dividende démographique, le Cameroun </w:t>
      </w:r>
      <w:r w:rsidR="00B60D47">
        <w:t xml:space="preserve">se classerait au </w:t>
      </w:r>
      <w:r w:rsidR="00B60D47" w:rsidRPr="00633E85">
        <w:t>47</w:t>
      </w:r>
      <w:r w:rsidR="004C09D6">
        <w:rPr>
          <w:vertAlign w:val="superscript"/>
        </w:rPr>
        <w:t>ème</w:t>
      </w:r>
      <w:r w:rsidR="00B60D47" w:rsidRPr="00633E85">
        <w:t xml:space="preserve"> rang </w:t>
      </w:r>
      <w:r w:rsidR="00B60D47">
        <w:t xml:space="preserve">mondial et </w:t>
      </w:r>
      <w:r w:rsidRPr="00633E85">
        <w:t>serait compté parmi les pays émergents en 2050.</w:t>
      </w:r>
    </w:p>
    <w:p w:rsidR="00CE2B53" w:rsidRDefault="00CE2B53" w:rsidP="008B490D">
      <w:pPr>
        <w:pStyle w:val="Lgende"/>
        <w:spacing w:before="240"/>
      </w:pPr>
      <w:r>
        <w:t xml:space="preserve">Figure </w:t>
      </w:r>
      <w:fldSimple w:instr=" SEQ Figure \* ARABIC ">
        <w:r>
          <w:rPr>
            <w:noProof/>
          </w:rPr>
          <w:t>16</w:t>
        </w:r>
      </w:fldSimple>
      <w:r>
        <w:t xml:space="preserve">: </w:t>
      </w:r>
      <w:r w:rsidRPr="00E24D8C">
        <w:t>Classement du Cameroun selon l’Indice de Développement Humain en 2050.</w:t>
      </w:r>
    </w:p>
    <w:p w:rsidR="008E776A" w:rsidRDefault="00EB2DAD" w:rsidP="008E776A">
      <w:pPr>
        <w:tabs>
          <w:tab w:val="left" w:pos="5355"/>
        </w:tabs>
        <w:spacing w:before="240" w:line="276" w:lineRule="auto"/>
        <w:jc w:val="both"/>
        <w:rPr>
          <w:rFonts w:ascii="Tw Cen MT" w:hAnsi="Tw Cen MT" w:cs="Tw Cen MT"/>
        </w:rPr>
      </w:pPr>
      <w:r w:rsidRPr="00EB2DAD">
        <w:rPr>
          <w:rFonts w:ascii="Tw Cen MT" w:hAnsi="Tw Cen MT" w:cs="Tw Cen MT"/>
          <w:noProof/>
        </w:rPr>
        <w:drawing>
          <wp:inline distT="0" distB="0" distL="0" distR="0">
            <wp:extent cx="5581290" cy="3950898"/>
            <wp:effectExtent l="0" t="0" r="0" b="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E776A" w:rsidRPr="00D44D78" w:rsidRDefault="008E776A" w:rsidP="00031E04">
      <w:pPr>
        <w:pStyle w:val="Titre1"/>
        <w:numPr>
          <w:ilvl w:val="0"/>
          <w:numId w:val="115"/>
        </w:numPr>
        <w:spacing w:before="240" w:after="240"/>
        <w:ind w:left="714" w:hanging="357"/>
        <w:jc w:val="both"/>
      </w:pPr>
      <w:bookmarkStart w:id="61" w:name="_Toc474777044"/>
      <w:bookmarkStart w:id="62" w:name="_Toc479009929"/>
      <w:r w:rsidRPr="00D44D78">
        <w:t>Conclusion</w:t>
      </w:r>
      <w:r w:rsidR="008E5D7B">
        <w:t>s</w:t>
      </w:r>
      <w:bookmarkEnd w:id="61"/>
      <w:bookmarkEnd w:id="62"/>
    </w:p>
    <w:p w:rsidR="009566F9" w:rsidRDefault="008E776A" w:rsidP="009566F9">
      <w:pPr>
        <w:tabs>
          <w:tab w:val="left" w:pos="1424"/>
        </w:tabs>
        <w:spacing w:line="276" w:lineRule="auto"/>
        <w:jc w:val="both"/>
      </w:pPr>
      <w:r w:rsidRPr="00633E85">
        <w:t xml:space="preserve">L’objectif de cette étude était de contribuer à rendre disponibles </w:t>
      </w:r>
      <w:r w:rsidR="001F6330">
        <w:t>d</w:t>
      </w:r>
      <w:r w:rsidRPr="00633E85">
        <w:t>es informations stratégiques</w:t>
      </w:r>
      <w:r w:rsidR="001F6330">
        <w:t xml:space="preserve"> dans la quête de l'émergence à travers l'habilitation du dividende </w:t>
      </w:r>
      <w:r w:rsidR="001F6330">
        <w:lastRenderedPageBreak/>
        <w:t xml:space="preserve">démographique d'une part et de vérifier si le pays suivra le même processus </w:t>
      </w:r>
      <w:r w:rsidR="000A2B1A">
        <w:t>qu</w:t>
      </w:r>
      <w:r w:rsidR="001F6330">
        <w:t>e ceux des pays qui l'ont précédé dans l'émergence.</w:t>
      </w:r>
      <w:r w:rsidR="00715FE9">
        <w:t xml:space="preserve"> </w:t>
      </w:r>
      <w:r w:rsidR="001F6330">
        <w:t xml:space="preserve">Pour ce faire, on a eu recours à la modélisation DemDiv </w:t>
      </w:r>
      <w:r w:rsidR="009566F9">
        <w:t xml:space="preserve">avec l'utilisation de quatre modèles ou </w:t>
      </w:r>
      <w:r w:rsidRPr="00633E85">
        <w:t xml:space="preserve">scénarii d’évolution des indicateurs liés à la population et au développement. Les résultats de l’étude ont permis de montrer </w:t>
      </w:r>
      <w:r w:rsidR="009566F9">
        <w:t>que, à l'instar des autres pays émergent</w:t>
      </w:r>
      <w:r w:rsidR="000A2B1A">
        <w:t>s</w:t>
      </w:r>
      <w:r w:rsidR="009566F9">
        <w:t xml:space="preserve"> aujourd'hui, si </w:t>
      </w:r>
      <w:r w:rsidRPr="00633E85">
        <w:t xml:space="preserve">le Cameroun </w:t>
      </w:r>
      <w:r w:rsidR="009566F9">
        <w:t xml:space="preserve">voudrait </w:t>
      </w:r>
      <w:r w:rsidRPr="00633E85">
        <w:t>opter pour le bénéfice du dividende démographique</w:t>
      </w:r>
      <w:r w:rsidR="009566F9">
        <w:t xml:space="preserve"> pour son développement socio-économique</w:t>
      </w:r>
      <w:r w:rsidRPr="00633E85">
        <w:t xml:space="preserve">, </w:t>
      </w:r>
      <w:r w:rsidR="009566F9">
        <w:t>il devrait</w:t>
      </w:r>
      <w:r w:rsidRPr="00633E85">
        <w:t xml:space="preserve"> investi</w:t>
      </w:r>
      <w:r w:rsidR="009566F9">
        <w:t>r</w:t>
      </w:r>
      <w:r w:rsidRPr="00633E85">
        <w:t xml:space="preserve"> massivement et durablement dans</w:t>
      </w:r>
      <w:r w:rsidR="009566F9">
        <w:t xml:space="preserve"> les quatre domaines définis au départ, à </w:t>
      </w:r>
      <w:r w:rsidR="009566F9" w:rsidRPr="009566F9">
        <w:t>savoir</w:t>
      </w:r>
      <w:r w:rsidR="002433BD">
        <w:t> </w:t>
      </w:r>
      <w:r w:rsidR="009566F9" w:rsidRPr="009566F9">
        <w:t>:</w:t>
      </w:r>
    </w:p>
    <w:p w:rsidR="009566F9" w:rsidRDefault="008E776A" w:rsidP="00031E04">
      <w:pPr>
        <w:pStyle w:val="Paragraphedeliste"/>
        <w:numPr>
          <w:ilvl w:val="0"/>
          <w:numId w:val="116"/>
        </w:numPr>
        <w:tabs>
          <w:tab w:val="left" w:pos="1424"/>
        </w:tabs>
        <w:spacing w:line="276" w:lineRule="auto"/>
        <w:jc w:val="both"/>
      </w:pPr>
      <w:r w:rsidRPr="00633E85">
        <w:t>la santé,</w:t>
      </w:r>
      <w:r w:rsidR="009566F9">
        <w:t xml:space="preserve"> en particulier la santé reproductive y compris la planification familiale, la santé maternelle, infantile et juvénile</w:t>
      </w:r>
      <w:r w:rsidR="002433BD">
        <w:t> </w:t>
      </w:r>
      <w:r w:rsidR="009566F9">
        <w:t>;</w:t>
      </w:r>
    </w:p>
    <w:p w:rsidR="009566F9" w:rsidRDefault="008E776A" w:rsidP="00031E04">
      <w:pPr>
        <w:pStyle w:val="Paragraphedeliste"/>
        <w:numPr>
          <w:ilvl w:val="0"/>
          <w:numId w:val="116"/>
        </w:numPr>
        <w:tabs>
          <w:tab w:val="left" w:pos="1424"/>
        </w:tabs>
        <w:spacing w:line="276" w:lineRule="auto"/>
        <w:jc w:val="both"/>
      </w:pPr>
      <w:r w:rsidRPr="00633E85">
        <w:t>l’éducation</w:t>
      </w:r>
      <w:r w:rsidR="009566F9">
        <w:t>, surtout l'éducation de la jeune fille</w:t>
      </w:r>
      <w:r w:rsidR="00A47640">
        <w:t xml:space="preserve"> et son maintien le plus longtemps possible dans le système scolaire d'une part et le renforcement du capital en général d'autre part</w:t>
      </w:r>
      <w:r w:rsidR="002433BD">
        <w:t> </w:t>
      </w:r>
      <w:r w:rsidR="00A47640">
        <w:t>;</w:t>
      </w:r>
    </w:p>
    <w:p w:rsidR="008E776A" w:rsidRDefault="008E776A" w:rsidP="00031E04">
      <w:pPr>
        <w:pStyle w:val="Paragraphedeliste"/>
        <w:numPr>
          <w:ilvl w:val="0"/>
          <w:numId w:val="116"/>
        </w:numPr>
        <w:tabs>
          <w:tab w:val="left" w:pos="1424"/>
        </w:tabs>
        <w:spacing w:line="276" w:lineRule="auto"/>
        <w:jc w:val="both"/>
      </w:pPr>
      <w:r w:rsidRPr="00633E85">
        <w:t>l’économie</w:t>
      </w:r>
      <w:r w:rsidR="00A47640">
        <w:t>, avec l'accroissement des investissements et la création des emplois surtout en direction des jeunes et des femmes</w:t>
      </w:r>
      <w:r w:rsidR="002433BD">
        <w:t> </w:t>
      </w:r>
      <w:r w:rsidR="00B43394">
        <w:t>;</w:t>
      </w:r>
    </w:p>
    <w:p w:rsidR="00812615" w:rsidRDefault="00B43394" w:rsidP="008B490D">
      <w:pPr>
        <w:pStyle w:val="Paragraphedeliste"/>
        <w:numPr>
          <w:ilvl w:val="0"/>
          <w:numId w:val="116"/>
        </w:numPr>
        <w:tabs>
          <w:tab w:val="left" w:pos="1424"/>
        </w:tabs>
        <w:spacing w:line="276" w:lineRule="auto"/>
        <w:jc w:val="both"/>
      </w:pPr>
      <w:r>
        <w:t xml:space="preserve">et la gouvernance qui devrait créer un cadre normatif pour un </w:t>
      </w:r>
      <w:r w:rsidR="008E5D7B">
        <w:t>État</w:t>
      </w:r>
      <w:r>
        <w:t xml:space="preserve"> de droit et la bonne gouvernance.</w:t>
      </w:r>
    </w:p>
    <w:p w:rsidR="00812615" w:rsidRPr="00376291" w:rsidRDefault="00376291" w:rsidP="00376291">
      <w:pPr>
        <w:pStyle w:val="Titre1"/>
        <w:numPr>
          <w:ilvl w:val="0"/>
          <w:numId w:val="115"/>
        </w:numPr>
        <w:spacing w:before="240" w:after="240"/>
        <w:ind w:left="714" w:hanging="357"/>
        <w:jc w:val="both"/>
      </w:pPr>
      <w:bookmarkStart w:id="63" w:name="_Toc479009930"/>
      <w:r>
        <w:t>Recommandations</w:t>
      </w:r>
      <w:bookmarkEnd w:id="63"/>
    </w:p>
    <w:p w:rsidR="008E776A" w:rsidRPr="00633E85" w:rsidRDefault="00A47640" w:rsidP="000B246D">
      <w:pPr>
        <w:tabs>
          <w:tab w:val="left" w:pos="5355"/>
        </w:tabs>
        <w:spacing w:before="120" w:line="276" w:lineRule="auto"/>
        <w:jc w:val="both"/>
      </w:pPr>
      <w:r>
        <w:t>En matière de santé</w:t>
      </w:r>
      <w:r w:rsidR="008E776A" w:rsidRPr="00633E85">
        <w:t xml:space="preserve">, le système sanitaire doit être renforcé, à travers une offre accrue des soins de santé primaires et de la vaccination, afin de sauver des vies des enfants de moins de 5 ans et des femmes en âge de procréer. La santé de la reproduction et la planification familiale doivent être améliorées grâce à la disponibilité des méthodes variées de planification familiale pour </w:t>
      </w:r>
      <w:r>
        <w:t>répondre efficacement à la demande non satisfaite et anticiper sur les besoins futurs découlant</w:t>
      </w:r>
      <w:r w:rsidR="00EA3215">
        <w:t xml:space="preserve"> de la prise de conscience de la survie d'un plus grand nombre d'enfants</w:t>
      </w:r>
      <w:r w:rsidR="008E776A" w:rsidRPr="00633E85">
        <w:t>. Ce qui permettrait d’améliorer non seulement la santé maternelle</w:t>
      </w:r>
      <w:r w:rsidR="00EA3215">
        <w:t>,</w:t>
      </w:r>
      <w:r w:rsidR="008E776A" w:rsidRPr="00633E85">
        <w:t xml:space="preserve"> infantile</w:t>
      </w:r>
      <w:r w:rsidR="00EA3215">
        <w:t xml:space="preserve"> et juvénile</w:t>
      </w:r>
      <w:r w:rsidR="008E776A" w:rsidRPr="00633E85">
        <w:t xml:space="preserve">, mais aussi de réduire les grossesses non désirées notamment chez les jeunes. </w:t>
      </w:r>
      <w:r w:rsidR="00B16A58">
        <w:t xml:space="preserve">Les stratégies sectorielles et les plans opérationnels déjà encours ou à venir devraient </w:t>
      </w:r>
      <w:r w:rsidR="000A2B1A">
        <w:t xml:space="preserve">être évalués </w:t>
      </w:r>
      <w:r w:rsidR="00B16A58">
        <w:t xml:space="preserve">et </w:t>
      </w:r>
      <w:r w:rsidR="000A2B1A">
        <w:t xml:space="preserve">renforcés </w:t>
      </w:r>
      <w:r w:rsidR="000B246D">
        <w:t xml:space="preserve">en vue de leur intégration dans le processus d'atteinte du dividende démographique par le Cameroun. </w:t>
      </w:r>
      <w:r w:rsidR="008E776A" w:rsidRPr="00633E85">
        <w:t xml:space="preserve">Il faudrait également mettre en place des programmes </w:t>
      </w:r>
      <w:r w:rsidR="000A2B1A">
        <w:t>en faveur de</w:t>
      </w:r>
      <w:r w:rsidR="008E776A" w:rsidRPr="00633E85">
        <w:t xml:space="preserve"> la réduction des coûts des soins de santé pour les jeunes, et poursuivre davantage des actions de lutte contre le VIH/Sida.</w:t>
      </w:r>
    </w:p>
    <w:p w:rsidR="008E776A" w:rsidRPr="00633E85" w:rsidRDefault="008E776A" w:rsidP="000B246D">
      <w:pPr>
        <w:tabs>
          <w:tab w:val="left" w:pos="5355"/>
        </w:tabs>
        <w:spacing w:before="120" w:line="276" w:lineRule="auto"/>
        <w:jc w:val="both"/>
      </w:pPr>
      <w:r w:rsidRPr="00633E85">
        <w:t xml:space="preserve">L’éducation doit être améliorée quantitativement et qualitativement au Cameroun. Les disparités en matière d’éducation entre les filles et les garçons </w:t>
      </w:r>
      <w:r w:rsidR="000A2B1A" w:rsidRPr="00633E85">
        <w:t>d</w:t>
      </w:r>
      <w:r w:rsidR="000A2B1A">
        <w:t>evron</w:t>
      </w:r>
      <w:r w:rsidR="000A2B1A" w:rsidRPr="00633E85">
        <w:t xml:space="preserve">t </w:t>
      </w:r>
      <w:r w:rsidRPr="00633E85">
        <w:t xml:space="preserve">être aplanies. </w:t>
      </w:r>
      <w:r w:rsidR="00B02FDA">
        <w:t>Bien plus</w:t>
      </w:r>
      <w:r w:rsidRPr="00633E85">
        <w:t xml:space="preserve">, les </w:t>
      </w:r>
      <w:proofErr w:type="gramStart"/>
      <w:r w:rsidRPr="00633E85">
        <w:t>interventions doivent</w:t>
      </w:r>
      <w:proofErr w:type="gramEnd"/>
      <w:r w:rsidRPr="00633E85">
        <w:t xml:space="preserve"> être menées afin de maintenir les jeunes filles dans l’enseignement secondaire et </w:t>
      </w:r>
      <w:r w:rsidR="00B02FDA">
        <w:t>universitaire</w:t>
      </w:r>
      <w:r w:rsidRPr="00633E85">
        <w:t>. L’enseignement et la formation professionnelle doivent être élargis et pertinents pour permettre aux jeunes d’avoir des compétences requises pour un emploi productif</w:t>
      </w:r>
      <w:r w:rsidR="000B246D">
        <w:t xml:space="preserve"> dans un Cameroun émergent</w:t>
      </w:r>
      <w:r w:rsidRPr="00633E85">
        <w:t xml:space="preserve">. Également, l’encadrement des jeunes sortis du système éducatif formel doit être poursuivi à travers des formations et des apprentissages spécifiques. Il faudrait par ailleurs </w:t>
      </w:r>
      <w:r w:rsidR="00B02FDA" w:rsidRPr="00633E85">
        <w:t xml:space="preserve">accroître les budgets accordés à l’éducation et à la formation professionnelle </w:t>
      </w:r>
      <w:r w:rsidR="00B02FDA">
        <w:t xml:space="preserve">en </w:t>
      </w:r>
      <w:r w:rsidR="00B02FDA">
        <w:lastRenderedPageBreak/>
        <w:t>vue d’</w:t>
      </w:r>
      <w:r w:rsidRPr="00633E85">
        <w:t>encourager l’innovation technologique et les initiatives entrepreneuriales dans le domaine des TIC en milieu jeune.</w:t>
      </w:r>
    </w:p>
    <w:p w:rsidR="00B43394" w:rsidRDefault="008E776A" w:rsidP="000B246D">
      <w:pPr>
        <w:tabs>
          <w:tab w:val="left" w:pos="5355"/>
        </w:tabs>
        <w:spacing w:before="120" w:line="276" w:lineRule="auto"/>
        <w:jc w:val="both"/>
      </w:pPr>
      <w:r w:rsidRPr="00633E85">
        <w:t xml:space="preserve">La stimulation de la croissance économique est étroitement tributaire d’un secteur productif dynamique, notamment les secteurs secondaire et tertiaire qui utilisent en majorité une main-d’œuvre hautement qualifiée. La croissance accélérée pourrait être ainsi maintenue et soutenue sur une longue période. Les secteurs </w:t>
      </w:r>
      <w:r w:rsidR="00B02FDA" w:rsidRPr="00633E85">
        <w:t>d’emplo</w:t>
      </w:r>
      <w:r w:rsidR="00B02FDA">
        <w:t>is</w:t>
      </w:r>
      <w:r w:rsidR="00715FE9">
        <w:t xml:space="preserve"> </w:t>
      </w:r>
      <w:r w:rsidRPr="00633E85">
        <w:t xml:space="preserve">non qualifiés doivent prioritairement bénéficier de grands investissements, afin de créer plus de nouveaux emplois. Au fur et à mesure que le niveau d’éducation croît, des emplois doivent également être créés dans les secteurs basés sur un niveau de connaissances élevé et une valeur ajoutée plus grande. Le marché du travail doit également connaître la modernisation à travers une souplesse en matière d’embauche, de mobilité professionnelle et d’investissements. Les disparités liées à l’accès à l’emploi selon le sexe doivent être réduites. Il faudrait adopter des mesures favorables à la migration de l’informel vers le secteur formel, et accroître des crédits aux petites et moyennes entreprises </w:t>
      </w:r>
      <w:r w:rsidR="00B02FDA">
        <w:t xml:space="preserve">en faveur </w:t>
      </w:r>
      <w:r w:rsidRPr="00633E85">
        <w:t>des jeunes.</w:t>
      </w:r>
    </w:p>
    <w:p w:rsidR="008E776A" w:rsidRPr="00633E85" w:rsidRDefault="008E776A" w:rsidP="000B246D">
      <w:pPr>
        <w:tabs>
          <w:tab w:val="left" w:pos="5355"/>
        </w:tabs>
        <w:spacing w:before="120" w:line="276" w:lineRule="auto"/>
        <w:jc w:val="both"/>
      </w:pPr>
      <w:r w:rsidRPr="00633E85">
        <w:t>La lutte contre la corruption et l’assainissement de la gestion des finances publiques doivent être également intensifiés. La représentativité des jeunes dans les instances de prise de décision doit être prise en compte.</w:t>
      </w:r>
      <w:r w:rsidR="00B43394">
        <w:t xml:space="preserve"> La bonne gouvernance et l'</w:t>
      </w:r>
      <w:r w:rsidR="008E5D7B">
        <w:t>État</w:t>
      </w:r>
      <w:r w:rsidR="00B43394">
        <w:t xml:space="preserve"> de droit devrait être des impératifs préalables.</w:t>
      </w:r>
    </w:p>
    <w:p w:rsidR="00BF1076" w:rsidRPr="00BF1076" w:rsidRDefault="00B02FDA" w:rsidP="00D27687">
      <w:pPr>
        <w:spacing w:line="276" w:lineRule="auto"/>
        <w:jc w:val="both"/>
      </w:pPr>
      <w:r>
        <w:t xml:space="preserve">Enfin, </w:t>
      </w:r>
      <w:r w:rsidR="00BF1076">
        <w:t>l</w:t>
      </w:r>
      <w:r w:rsidR="00C32185">
        <w:t>a modélisation a montré que la fenêtre d'opportunité pour le bénéfice d'un dividende démographique s'ouvrira autour de 2021 si toutes les conditions préalables sont réunies. Et 2021 c'est demain. Il est donc urgent de s'y engager dès l'acceptation des résultats de cette étude. Pour ce faire, on va se référer aux différentes roues de l</w:t>
      </w:r>
      <w:r>
        <w:t>’</w:t>
      </w:r>
      <w:r w:rsidR="00C32185">
        <w:t>a</w:t>
      </w:r>
      <w:r>
        <w:t>tteinte du dividende démographique (santé, éducation, économie et gouvernance)</w:t>
      </w:r>
      <w:r w:rsidR="00C32185">
        <w:t>.</w:t>
      </w:r>
      <w:r w:rsidR="00116899" w:rsidRPr="00116899">
        <w:t>Elle suggère la mise en œuvre en trois étapes :</w:t>
      </w:r>
    </w:p>
    <w:p w:rsidR="00BF1076" w:rsidRPr="00BF1076" w:rsidRDefault="00116899" w:rsidP="00D27687">
      <w:pPr>
        <w:pStyle w:val="Paragraphedeliste"/>
        <w:numPr>
          <w:ilvl w:val="0"/>
          <w:numId w:val="117"/>
        </w:numPr>
        <w:spacing w:before="120"/>
        <w:ind w:left="714" w:hanging="357"/>
        <w:jc w:val="both"/>
      </w:pPr>
      <w:r w:rsidRPr="00116899">
        <w:t>l'appropriation du dividende démographique par une décla</w:t>
      </w:r>
      <w:r w:rsidR="00BF1076">
        <w:t>ration politique de haut niveau </w:t>
      </w:r>
      <w:r w:rsidRPr="00116899">
        <w:t>;</w:t>
      </w:r>
    </w:p>
    <w:p w:rsidR="00BF1076" w:rsidRPr="00BF1076" w:rsidRDefault="00DC4875" w:rsidP="00D27687">
      <w:pPr>
        <w:pStyle w:val="Paragraphedeliste"/>
        <w:numPr>
          <w:ilvl w:val="0"/>
          <w:numId w:val="117"/>
        </w:numPr>
        <w:spacing w:before="120"/>
        <w:ind w:left="714" w:hanging="357"/>
        <w:jc w:val="both"/>
      </w:pPr>
      <w:r>
        <w:t>l’actualisation de la</w:t>
      </w:r>
      <w:r w:rsidR="00116899" w:rsidRPr="00116899">
        <w:t xml:space="preserve"> déclaration de po</w:t>
      </w:r>
      <w:r w:rsidR="00BF1076">
        <w:t>litique nationale de population </w:t>
      </w:r>
      <w:r w:rsidR="00116899" w:rsidRPr="00116899">
        <w:t>;</w:t>
      </w:r>
    </w:p>
    <w:p w:rsidR="00BF1076" w:rsidRPr="00BF1076" w:rsidRDefault="00116899" w:rsidP="00D27687">
      <w:pPr>
        <w:pStyle w:val="Paragraphedeliste"/>
        <w:numPr>
          <w:ilvl w:val="0"/>
          <w:numId w:val="117"/>
        </w:numPr>
        <w:spacing w:before="120"/>
        <w:ind w:left="714" w:hanging="357"/>
        <w:jc w:val="both"/>
      </w:pPr>
      <w:r w:rsidRPr="00116899">
        <w:t>et l'élaboration des politiques sectorielles (éducation, économie, gouvernance et santé) desquelles découleront des stratégies et plans d'actions appropriés.</w:t>
      </w:r>
    </w:p>
    <w:p w:rsidR="008B276D" w:rsidRDefault="008B276D" w:rsidP="008B276D"/>
    <w:p w:rsidR="004E054B" w:rsidRDefault="004E054B">
      <w:pPr>
        <w:rPr>
          <w:rFonts w:ascii="Times New Roman Gras" w:hAnsi="Times New Roman Gras" w:cs="Times New Roman Gras"/>
          <w:b/>
          <w:bCs/>
          <w:smallCaps/>
          <w:color w:val="000000"/>
          <w:sz w:val="28"/>
          <w:szCs w:val="28"/>
          <w:lang w:val="fr-CA"/>
        </w:rPr>
      </w:pPr>
      <w:bookmarkStart w:id="64" w:name="_Toc474777045"/>
      <w:bookmarkStart w:id="65" w:name="_Toc360693130"/>
      <w:r>
        <w:rPr>
          <w:lang w:val="fr-CA"/>
        </w:rPr>
        <w:br w:type="page"/>
      </w:r>
    </w:p>
    <w:p w:rsidR="008E776A" w:rsidRPr="00D44D78" w:rsidRDefault="008E776A" w:rsidP="008E776A">
      <w:pPr>
        <w:pStyle w:val="Titre1"/>
        <w:spacing w:after="0"/>
        <w:jc w:val="both"/>
        <w:rPr>
          <w:lang w:val="fr-CA"/>
        </w:rPr>
      </w:pPr>
      <w:bookmarkStart w:id="66" w:name="_Toc479009931"/>
      <w:r w:rsidRPr="00D44D78">
        <w:rPr>
          <w:lang w:val="fr-CA"/>
        </w:rPr>
        <w:lastRenderedPageBreak/>
        <w:t>Références</w:t>
      </w:r>
      <w:bookmarkEnd w:id="64"/>
      <w:bookmarkEnd w:id="66"/>
    </w:p>
    <w:p w:rsidR="008E776A" w:rsidRDefault="008E776A" w:rsidP="008E776A">
      <w:pPr>
        <w:rPr>
          <w:b/>
          <w:bCs/>
          <w:lang w:val="fr-CA"/>
        </w:rPr>
      </w:pPr>
    </w:p>
    <w:p w:rsidR="008E776A" w:rsidRDefault="001B585D" w:rsidP="00BD60B4">
      <w:pPr>
        <w:pStyle w:val="EndNoteBibliography"/>
        <w:spacing w:before="60"/>
        <w:ind w:left="720" w:hanging="720"/>
        <w:jc w:val="both"/>
        <w:rPr>
          <w:lang w:val="en-CA"/>
        </w:rPr>
      </w:pPr>
      <w:r w:rsidRPr="00BD60B4">
        <w:rPr>
          <w:lang w:val="fr-CA"/>
        </w:rPr>
        <w:fldChar w:fldCharType="begin"/>
      </w:r>
      <w:r w:rsidR="008E776A" w:rsidRPr="00BD60B4">
        <w:rPr>
          <w:lang w:val="fr-CA"/>
        </w:rPr>
        <w:instrText xml:space="preserve"> ADDIN EN.REFLIST </w:instrText>
      </w:r>
      <w:r w:rsidRPr="00BD60B4">
        <w:rPr>
          <w:lang w:val="fr-CA"/>
        </w:rPr>
        <w:fldChar w:fldCharType="separate"/>
      </w:r>
      <w:bookmarkStart w:id="67" w:name="_ENREF_1"/>
      <w:r w:rsidR="00181502">
        <w:t>ADMASSIE, A. et</w:t>
      </w:r>
      <w:r w:rsidR="008E776A" w:rsidRPr="00BD60B4">
        <w:t xml:space="preserve"> ABEBAW, D. 2014. </w:t>
      </w:r>
      <w:r w:rsidR="008E776A" w:rsidRPr="00BD60B4">
        <w:rPr>
          <w:lang w:val="en-CA"/>
        </w:rPr>
        <w:t xml:space="preserve">Rural poverty and marginalization in Ethiopia: a review of development interventions. </w:t>
      </w:r>
      <w:r w:rsidR="008E776A" w:rsidRPr="00BD60B4">
        <w:rPr>
          <w:i/>
          <w:lang w:val="en-CA"/>
        </w:rPr>
        <w:t>In:</w:t>
      </w:r>
      <w:r w:rsidR="00181502">
        <w:rPr>
          <w:lang w:val="en-CA"/>
        </w:rPr>
        <w:t xml:space="preserve"> VON BRAUN, J. et</w:t>
      </w:r>
      <w:r w:rsidR="008E776A" w:rsidRPr="00BD60B4">
        <w:rPr>
          <w:lang w:val="en-CA"/>
        </w:rPr>
        <w:t xml:space="preserve"> GATZWEILER, F. W. (eds.) </w:t>
      </w:r>
      <w:r w:rsidR="008E776A" w:rsidRPr="00BD60B4">
        <w:rPr>
          <w:i/>
          <w:lang w:val="en-CA"/>
        </w:rPr>
        <w:t>Marginality.</w:t>
      </w:r>
      <w:r w:rsidR="008E776A" w:rsidRPr="00BD60B4">
        <w:rPr>
          <w:lang w:val="en-CA"/>
        </w:rPr>
        <w:t xml:space="preserve"> Springer</w:t>
      </w:r>
      <w:bookmarkEnd w:id="67"/>
      <w:r w:rsidR="007F6B24">
        <w:rPr>
          <w:lang w:val="en-CA"/>
        </w:rPr>
        <w:t>, 269-300.</w:t>
      </w:r>
    </w:p>
    <w:p w:rsidR="000676F3" w:rsidRDefault="005E55CA" w:rsidP="00BD60B4">
      <w:pPr>
        <w:pStyle w:val="EndNoteBibliography"/>
        <w:spacing w:before="60"/>
        <w:ind w:left="720" w:hanging="720"/>
        <w:jc w:val="both"/>
        <w:rPr>
          <w:bCs/>
        </w:rPr>
      </w:pPr>
      <w:r w:rsidRPr="002F03FD">
        <w:rPr>
          <w:lang w:val="fr-CA"/>
        </w:rPr>
        <w:t xml:space="preserve">AFIDEP. 2016. </w:t>
      </w:r>
      <w:r w:rsidRPr="000676F3">
        <w:rPr>
          <w:bCs/>
        </w:rPr>
        <w:t>Exploitation du Dividende démographique pour accélérer la transformation socioéconomique et le développement économique au Cameroun. Yaoundé, 50 p.</w:t>
      </w:r>
      <w:bookmarkStart w:id="68" w:name="_ENREF_2"/>
    </w:p>
    <w:p w:rsidR="008E776A" w:rsidRDefault="008E776A" w:rsidP="00BD60B4">
      <w:pPr>
        <w:pStyle w:val="EndNoteBibliography"/>
        <w:spacing w:before="60"/>
        <w:ind w:left="720" w:hanging="720"/>
        <w:jc w:val="both"/>
      </w:pPr>
      <w:r w:rsidRPr="00BD60B4">
        <w:t xml:space="preserve">BAXERRES, C., GUIENNE, V., HOUNGNIBI, R. </w:t>
      </w:r>
      <w:r w:rsidR="00181502">
        <w:t>et</w:t>
      </w:r>
      <w:r w:rsidRPr="00BD60B4">
        <w:t xml:space="preserve"> MARQUIS, C. 2015. </w:t>
      </w:r>
      <w:r w:rsidRPr="00BD60B4">
        <w:rPr>
          <w:i/>
        </w:rPr>
        <w:t xml:space="preserve">L'automédication et ses déterminants: actes des rencontres francophones Nord/Sud, </w:t>
      </w:r>
      <w:r w:rsidRPr="00BD60B4">
        <w:t>Cotonou, IRD</w:t>
      </w:r>
      <w:bookmarkEnd w:id="68"/>
      <w:r w:rsidR="007F6B24">
        <w:t>, 254 p.</w:t>
      </w:r>
    </w:p>
    <w:p w:rsidR="00882349" w:rsidRPr="002F03FD" w:rsidRDefault="00882349" w:rsidP="00BD60B4">
      <w:pPr>
        <w:pStyle w:val="EndNoteBibliography"/>
        <w:spacing w:before="60"/>
        <w:ind w:left="720" w:hanging="720"/>
        <w:jc w:val="both"/>
        <w:rPr>
          <w:lang w:val="en-CA"/>
        </w:rPr>
      </w:pPr>
      <w:r>
        <w:t xml:space="preserve">BEAUJEU, R., KOLIE, M., SEMPERE, J.-F., UHDER, C. 2011. </w:t>
      </w:r>
      <w:r w:rsidRPr="00882349">
        <w:t>Transition démographique et emploi en Afrique subsaharienne</w:t>
      </w:r>
      <w:r>
        <w:t xml:space="preserve">. </w:t>
      </w:r>
      <w:r w:rsidRPr="002F03FD">
        <w:rPr>
          <w:lang w:val="en-CA"/>
        </w:rPr>
        <w:t>Paris, 212 p.</w:t>
      </w:r>
    </w:p>
    <w:p w:rsidR="008E776A" w:rsidRPr="00BD60B4" w:rsidRDefault="008E776A" w:rsidP="00BD60B4">
      <w:pPr>
        <w:pStyle w:val="EndNoteBibliography"/>
        <w:spacing w:before="60"/>
        <w:ind w:left="720" w:hanging="720"/>
        <w:jc w:val="both"/>
      </w:pPr>
      <w:bookmarkStart w:id="69" w:name="_ENREF_3"/>
      <w:r w:rsidRPr="00BD60B4">
        <w:rPr>
          <w:lang w:val="en-CA"/>
        </w:rPr>
        <w:t>BENINGUISSE, G., KALAMBAYI BANZA, B</w:t>
      </w:r>
      <w:r w:rsidR="00181502">
        <w:rPr>
          <w:lang w:val="en-CA"/>
        </w:rPr>
        <w:t>. et</w:t>
      </w:r>
      <w:r w:rsidRPr="00BD60B4">
        <w:rPr>
          <w:lang w:val="en-CA"/>
        </w:rPr>
        <w:t xml:space="preserve"> BINGOLY-LIWORD, G. 2012. </w:t>
      </w:r>
      <w:r w:rsidRPr="00BD60B4">
        <w:rPr>
          <w:i/>
        </w:rPr>
        <w:t>Santé de la reproduction, genre et droits des enfants au Congo: enjeux et défis</w:t>
      </w:r>
      <w:r w:rsidR="00D27687">
        <w:rPr>
          <w:i/>
        </w:rPr>
        <w:t> </w:t>
      </w:r>
      <w:r w:rsidRPr="00BD60B4">
        <w:rPr>
          <w:i/>
        </w:rPr>
        <w:t xml:space="preserve">: une analyse approfondie des données de l'EDSCI-2005, </w:t>
      </w:r>
      <w:r w:rsidRPr="00BD60B4">
        <w:t>Louvain-la-neuve, Harmattan-Academia</w:t>
      </w:r>
      <w:bookmarkEnd w:id="69"/>
      <w:r w:rsidR="007F6B24">
        <w:t>, 343 p.</w:t>
      </w:r>
    </w:p>
    <w:p w:rsidR="008E776A" w:rsidRPr="00BD60B4" w:rsidRDefault="00181502" w:rsidP="00BD60B4">
      <w:pPr>
        <w:pStyle w:val="EndNoteBibliography"/>
        <w:spacing w:before="60"/>
        <w:ind w:left="720" w:hanging="720"/>
        <w:jc w:val="both"/>
        <w:rPr>
          <w:lang w:val="en-CA"/>
        </w:rPr>
      </w:pPr>
      <w:bookmarkStart w:id="70" w:name="_ENREF_4"/>
      <w:r>
        <w:rPr>
          <w:lang w:val="en-CA"/>
        </w:rPr>
        <w:t>BLOOM, D., CANNING, D. et</w:t>
      </w:r>
      <w:r w:rsidR="008E776A" w:rsidRPr="00BD60B4">
        <w:rPr>
          <w:lang w:val="en-CA"/>
        </w:rPr>
        <w:t xml:space="preserve"> SEVILLA, J. 2003. </w:t>
      </w:r>
      <w:r w:rsidR="008E776A" w:rsidRPr="00BD60B4">
        <w:rPr>
          <w:i/>
          <w:lang w:val="en-CA"/>
        </w:rPr>
        <w:t xml:space="preserve">The demographic dividend: A new perspective on the economic consequences of population change, </w:t>
      </w:r>
      <w:r w:rsidR="008E776A" w:rsidRPr="00BD60B4">
        <w:rPr>
          <w:lang w:val="en-CA"/>
        </w:rPr>
        <w:t>Santa Monica, Rand Corporation</w:t>
      </w:r>
      <w:bookmarkEnd w:id="70"/>
      <w:r w:rsidR="007F6B24">
        <w:rPr>
          <w:lang w:val="en-CA"/>
        </w:rPr>
        <w:t>, 98 p.</w:t>
      </w:r>
    </w:p>
    <w:p w:rsidR="008E776A" w:rsidRPr="00BD60B4" w:rsidRDefault="008E776A" w:rsidP="00BD60B4">
      <w:pPr>
        <w:pStyle w:val="EndNoteBibliography"/>
        <w:spacing w:before="60"/>
        <w:ind w:left="720" w:hanging="720"/>
        <w:jc w:val="both"/>
        <w:rPr>
          <w:lang w:val="en-CA"/>
        </w:rPr>
      </w:pPr>
      <w:bookmarkStart w:id="71" w:name="_ENREF_5"/>
      <w:r w:rsidRPr="00BD60B4">
        <w:rPr>
          <w:lang w:val="en-CA"/>
        </w:rPr>
        <w:t xml:space="preserve">BLOOM, D. E., HUMAIR, S., ROSENBERG, L., SEVILLA, J. P. </w:t>
      </w:r>
      <w:r w:rsidR="00181502">
        <w:rPr>
          <w:lang w:val="en-CA"/>
        </w:rPr>
        <w:t>et</w:t>
      </w:r>
      <w:r w:rsidRPr="00BD60B4">
        <w:rPr>
          <w:lang w:val="en-CA"/>
        </w:rPr>
        <w:t xml:space="preserve"> TRUSSELL, J. 2013. A Demographic dividend for sub-Saharan Africa: source, magnitude, and realization. Bonn: IZA DP</w:t>
      </w:r>
      <w:bookmarkEnd w:id="71"/>
      <w:r w:rsidR="007F6B24">
        <w:rPr>
          <w:lang w:val="en-CA"/>
        </w:rPr>
        <w:t>, 23 p.</w:t>
      </w:r>
    </w:p>
    <w:p w:rsidR="008E776A" w:rsidRPr="00BD60B4" w:rsidRDefault="008E776A" w:rsidP="00BD60B4">
      <w:pPr>
        <w:pStyle w:val="EndNoteBibliography"/>
        <w:spacing w:before="60"/>
        <w:ind w:left="720" w:hanging="720"/>
        <w:jc w:val="both"/>
      </w:pPr>
      <w:bookmarkStart w:id="72" w:name="_ENREF_6"/>
      <w:r w:rsidRPr="00BD60B4">
        <w:rPr>
          <w:lang w:val="en-CA"/>
        </w:rPr>
        <w:t xml:space="preserve">BONGAARTS, J. 1978. A framework for analyzing the proximate determinants of fertility. </w:t>
      </w:r>
      <w:r w:rsidRPr="00BD60B4">
        <w:rPr>
          <w:i/>
        </w:rPr>
        <w:t>Population and Development Review,</w:t>
      </w:r>
      <w:r w:rsidRPr="00BD60B4">
        <w:t xml:space="preserve"> 4</w:t>
      </w:r>
      <w:r w:rsidRPr="00BD60B4">
        <w:rPr>
          <w:b/>
        </w:rPr>
        <w:t>,</w:t>
      </w:r>
      <w:r w:rsidRPr="00BD60B4">
        <w:t xml:space="preserve"> 105-132.</w:t>
      </w:r>
      <w:bookmarkEnd w:id="72"/>
    </w:p>
    <w:p w:rsidR="008E776A" w:rsidRPr="00BD60B4" w:rsidRDefault="008E776A" w:rsidP="00BD60B4">
      <w:pPr>
        <w:pStyle w:val="EndNoteBibliography"/>
        <w:spacing w:before="60"/>
        <w:ind w:left="720" w:hanging="720"/>
        <w:jc w:val="both"/>
      </w:pPr>
      <w:bookmarkStart w:id="73" w:name="_ENREF_7"/>
      <w:r w:rsidRPr="00BD60B4">
        <w:t xml:space="preserve">BOUBA DJOURDEBBÉ, F. 2010. </w:t>
      </w:r>
      <w:r w:rsidRPr="00BD60B4">
        <w:rPr>
          <w:i/>
        </w:rPr>
        <w:t>La déperdition des soins prénatals au Tchad</w:t>
      </w:r>
      <w:r w:rsidRPr="00BD60B4">
        <w:t>, EUE.</w:t>
      </w:r>
      <w:bookmarkEnd w:id="73"/>
      <w:r w:rsidR="000676F3">
        <w:t xml:space="preserve"> 124 p.</w:t>
      </w:r>
    </w:p>
    <w:p w:rsidR="008E776A" w:rsidRPr="00BD60B4" w:rsidRDefault="008E776A" w:rsidP="00BD60B4">
      <w:pPr>
        <w:pStyle w:val="EndNoteBibliography"/>
        <w:spacing w:before="60"/>
        <w:ind w:left="720" w:hanging="720"/>
        <w:jc w:val="both"/>
        <w:rPr>
          <w:lang w:val="en-CA"/>
        </w:rPr>
      </w:pPr>
      <w:bookmarkStart w:id="74" w:name="_ENREF_8"/>
      <w:r w:rsidRPr="00BD60B4">
        <w:t>BUCREP 2010. 3</w:t>
      </w:r>
      <w:r w:rsidRPr="00D27687">
        <w:rPr>
          <w:vertAlign w:val="superscript"/>
        </w:rPr>
        <w:t>ème</w:t>
      </w:r>
      <w:r w:rsidRPr="00BD60B4">
        <w:t xml:space="preserve"> RGPH, la population du Cameroun en 2010. </w:t>
      </w:r>
      <w:r w:rsidRPr="00BD60B4">
        <w:rPr>
          <w:lang w:val="en-CA"/>
        </w:rPr>
        <w:t>Yaoundé</w:t>
      </w:r>
      <w:r w:rsidR="00147638" w:rsidRPr="00BD60B4">
        <w:rPr>
          <w:lang w:val="en-CA"/>
        </w:rPr>
        <w:t>, 10 p.</w:t>
      </w:r>
      <w:bookmarkEnd w:id="74"/>
    </w:p>
    <w:p w:rsidR="008E776A" w:rsidRPr="00BD60B4" w:rsidRDefault="008E776A" w:rsidP="00BD60B4">
      <w:pPr>
        <w:pStyle w:val="EndNoteBibliography"/>
        <w:spacing w:before="60"/>
        <w:ind w:left="720" w:hanging="720"/>
        <w:jc w:val="both"/>
      </w:pPr>
      <w:bookmarkStart w:id="75" w:name="_ENREF_9"/>
      <w:r w:rsidRPr="00BD60B4">
        <w:rPr>
          <w:lang w:val="en-CA"/>
        </w:rPr>
        <w:t xml:space="preserve">CAI, F. 2010. Demographic transition, demographic dividend, and Lewis turning point in China. </w:t>
      </w:r>
      <w:r w:rsidRPr="00BD60B4">
        <w:rPr>
          <w:i/>
        </w:rPr>
        <w:t>China Economic Journal,</w:t>
      </w:r>
      <w:r w:rsidRPr="00BD60B4">
        <w:t xml:space="preserve"> 3</w:t>
      </w:r>
      <w:r w:rsidRPr="00BD60B4">
        <w:rPr>
          <w:b/>
        </w:rPr>
        <w:t>,</w:t>
      </w:r>
      <w:r w:rsidRPr="00BD60B4">
        <w:t xml:space="preserve"> 107-119.</w:t>
      </w:r>
      <w:bookmarkEnd w:id="75"/>
    </w:p>
    <w:p w:rsidR="008E776A" w:rsidRPr="00BD60B4" w:rsidRDefault="008E776A" w:rsidP="00BD60B4">
      <w:pPr>
        <w:pStyle w:val="EndNoteBibliography"/>
        <w:spacing w:before="60"/>
        <w:ind w:left="720" w:hanging="720"/>
        <w:jc w:val="both"/>
      </w:pPr>
      <w:bookmarkStart w:id="76" w:name="_ENREF_10"/>
      <w:r w:rsidRPr="00BD60B4">
        <w:t xml:space="preserve">CHAUVIN, S. 2012. Cameroun: Les enjeux de la croissance. </w:t>
      </w:r>
      <w:r w:rsidRPr="00BD60B4">
        <w:rPr>
          <w:i/>
        </w:rPr>
        <w:t>Macroéconomie et Développement,</w:t>
      </w:r>
      <w:r w:rsidRPr="00BD60B4">
        <w:t xml:space="preserve"> 1</w:t>
      </w:r>
      <w:r w:rsidRPr="00BD60B4">
        <w:rPr>
          <w:b/>
        </w:rPr>
        <w:t>,</w:t>
      </w:r>
      <w:r w:rsidRPr="00BD60B4">
        <w:t xml:space="preserve"> 1-28.</w:t>
      </w:r>
      <w:bookmarkEnd w:id="76"/>
    </w:p>
    <w:p w:rsidR="008E776A" w:rsidRPr="002F03FD" w:rsidRDefault="00181502" w:rsidP="00BD60B4">
      <w:pPr>
        <w:pStyle w:val="EndNoteBibliography"/>
        <w:spacing w:before="60"/>
        <w:ind w:left="720" w:hanging="720"/>
        <w:jc w:val="both"/>
        <w:rPr>
          <w:lang w:val="fr-CA"/>
        </w:rPr>
      </w:pPr>
      <w:bookmarkStart w:id="77" w:name="_ENREF_11"/>
      <w:r>
        <w:t>CHIESA-MOUTANOU, S. et</w:t>
      </w:r>
      <w:r w:rsidR="008E776A" w:rsidRPr="00BD60B4">
        <w:t xml:space="preserve"> TIEMENI WANTOU, G. 2001. Le comportement contraceptif des Gabonaises des méthodes modernes</w:t>
      </w:r>
      <w:r>
        <w:t> </w:t>
      </w:r>
      <w:r w:rsidR="008E776A" w:rsidRPr="00BD60B4">
        <w:t xml:space="preserve">: faible taux d'utilisation et déficit d'information. </w:t>
      </w:r>
      <w:r w:rsidR="008E776A" w:rsidRPr="002F03FD">
        <w:rPr>
          <w:i/>
          <w:lang w:val="fr-CA"/>
        </w:rPr>
        <w:t>Médecine d’Afrique Noire,</w:t>
      </w:r>
      <w:r w:rsidR="008E776A" w:rsidRPr="002F03FD">
        <w:rPr>
          <w:lang w:val="fr-CA"/>
        </w:rPr>
        <w:t xml:space="preserve"> 48</w:t>
      </w:r>
      <w:r w:rsidR="008E776A" w:rsidRPr="002F03FD">
        <w:rPr>
          <w:b/>
          <w:lang w:val="fr-CA"/>
        </w:rPr>
        <w:t>,</w:t>
      </w:r>
      <w:r w:rsidR="008E776A" w:rsidRPr="002F03FD">
        <w:rPr>
          <w:lang w:val="fr-CA"/>
        </w:rPr>
        <w:t xml:space="preserve"> 191-198.</w:t>
      </w:r>
      <w:bookmarkEnd w:id="77"/>
    </w:p>
    <w:p w:rsidR="008E776A" w:rsidRPr="00BD60B4" w:rsidRDefault="008E776A" w:rsidP="00BD60B4">
      <w:pPr>
        <w:pStyle w:val="EndNoteBibliography"/>
        <w:spacing w:before="60"/>
        <w:ind w:left="720" w:hanging="720"/>
        <w:jc w:val="both"/>
        <w:rPr>
          <w:lang w:val="en-CA"/>
        </w:rPr>
      </w:pPr>
      <w:bookmarkStart w:id="78" w:name="_ENREF_12"/>
      <w:r w:rsidRPr="002F03FD">
        <w:rPr>
          <w:lang w:val="fr-CA"/>
        </w:rPr>
        <w:t>COBB, C. W</w:t>
      </w:r>
      <w:r w:rsidR="00181502" w:rsidRPr="002F03FD">
        <w:rPr>
          <w:lang w:val="fr-CA"/>
        </w:rPr>
        <w:t>. et</w:t>
      </w:r>
      <w:r w:rsidRPr="002F03FD">
        <w:rPr>
          <w:lang w:val="fr-CA"/>
        </w:rPr>
        <w:t xml:space="preserve"> DOUGLAS, P. H. 1928. </w:t>
      </w:r>
      <w:r w:rsidRPr="00BD60B4">
        <w:rPr>
          <w:lang w:val="en-CA"/>
        </w:rPr>
        <w:t xml:space="preserve">A theory of production. </w:t>
      </w:r>
      <w:r w:rsidRPr="00BD60B4">
        <w:rPr>
          <w:i/>
          <w:lang w:val="en-CA"/>
        </w:rPr>
        <w:t>The American Economic Review,</w:t>
      </w:r>
      <w:r w:rsidRPr="00BD60B4">
        <w:rPr>
          <w:lang w:val="en-CA"/>
        </w:rPr>
        <w:t xml:space="preserve"> 18</w:t>
      </w:r>
      <w:r w:rsidRPr="00BD60B4">
        <w:rPr>
          <w:b/>
          <w:lang w:val="en-CA"/>
        </w:rPr>
        <w:t>,</w:t>
      </w:r>
      <w:r w:rsidRPr="00BD60B4">
        <w:rPr>
          <w:lang w:val="en-CA"/>
        </w:rPr>
        <w:t xml:space="preserve"> 139-165.</w:t>
      </w:r>
      <w:bookmarkEnd w:id="78"/>
    </w:p>
    <w:p w:rsidR="008E776A" w:rsidRPr="00BD60B4" w:rsidRDefault="008E776A" w:rsidP="00BD60B4">
      <w:pPr>
        <w:pStyle w:val="EndNoteBibliography"/>
        <w:spacing w:before="60"/>
        <w:ind w:left="720" w:hanging="720"/>
        <w:jc w:val="both"/>
      </w:pPr>
      <w:bookmarkStart w:id="79" w:name="_ENREF_13"/>
      <w:r w:rsidRPr="00BD60B4">
        <w:rPr>
          <w:lang w:val="en-CA"/>
        </w:rPr>
        <w:t xml:space="preserve">DAVIS, K. 1963. The theory of change and response in modern demographic history. </w:t>
      </w:r>
      <w:r w:rsidR="00181502">
        <w:rPr>
          <w:i/>
        </w:rPr>
        <w:t>Population I</w:t>
      </w:r>
      <w:r w:rsidRPr="00BD60B4">
        <w:rPr>
          <w:i/>
        </w:rPr>
        <w:t>ndex,</w:t>
      </w:r>
      <w:r w:rsidRPr="00BD60B4">
        <w:t xml:space="preserve"> 29</w:t>
      </w:r>
      <w:r w:rsidRPr="00BD60B4">
        <w:rPr>
          <w:b/>
        </w:rPr>
        <w:t>,</w:t>
      </w:r>
      <w:r w:rsidRPr="00BD60B4">
        <w:t xml:space="preserve"> 345</w:t>
      </w:r>
      <w:r w:rsidR="00181502">
        <w:t>-367</w:t>
      </w:r>
      <w:r w:rsidRPr="00BD60B4">
        <w:t>.</w:t>
      </w:r>
      <w:bookmarkEnd w:id="79"/>
    </w:p>
    <w:p w:rsidR="008E776A" w:rsidRDefault="00181502" w:rsidP="00BD60B4">
      <w:pPr>
        <w:pStyle w:val="EndNoteBibliography"/>
        <w:spacing w:before="60"/>
        <w:ind w:left="720" w:hanging="720"/>
        <w:jc w:val="both"/>
      </w:pPr>
      <w:bookmarkStart w:id="80" w:name="_ENREF_14"/>
      <w:r>
        <w:t>DELAUNAY, V. et</w:t>
      </w:r>
      <w:r w:rsidR="008E776A" w:rsidRPr="00BD60B4">
        <w:t xml:space="preserve"> GUILLAUME, A. 2007. Sexualité et mode de contrôle de la fécondité chez les jeunes en Afrique subsaharienne. </w:t>
      </w:r>
      <w:r w:rsidR="008E776A" w:rsidRPr="00BD60B4">
        <w:rPr>
          <w:i/>
        </w:rPr>
        <w:t>Santé de la reproduction et fécondité dans les pays du Sud. Nouveaux contextes et nouveaux comportements.</w:t>
      </w:r>
      <w:r w:rsidR="008E776A" w:rsidRPr="00BD60B4">
        <w:t xml:space="preserve"> Louvain-la-Neuve</w:t>
      </w:r>
      <w:r>
        <w:t> </w:t>
      </w:r>
      <w:r w:rsidR="008E776A" w:rsidRPr="00BD60B4">
        <w:t>: Academia-Bruylant</w:t>
      </w:r>
      <w:bookmarkEnd w:id="80"/>
      <w:r w:rsidR="00716016">
        <w:t>, 211-263.</w:t>
      </w:r>
    </w:p>
    <w:p w:rsidR="00176C50" w:rsidRPr="00D0624B" w:rsidRDefault="00116899" w:rsidP="00BD60B4">
      <w:pPr>
        <w:pStyle w:val="EndNoteBibliography"/>
        <w:spacing w:before="60"/>
        <w:ind w:left="720" w:hanging="720"/>
        <w:jc w:val="both"/>
      </w:pPr>
      <w:r w:rsidRPr="00116899">
        <w:rPr>
          <w:bCs/>
        </w:rPr>
        <w:t>ÉCHAUDEMAISON</w:t>
      </w:r>
      <w:r w:rsidR="00D0624B" w:rsidRPr="00D0624B">
        <w:t xml:space="preserve">, </w:t>
      </w:r>
      <w:r>
        <w:t xml:space="preserve">C. D. 2014. </w:t>
      </w:r>
      <w:r w:rsidR="009A333B">
        <w:rPr>
          <w:bCs/>
        </w:rPr>
        <w:t>Dictionnaire d'É</w:t>
      </w:r>
      <w:r w:rsidRPr="00116899">
        <w:rPr>
          <w:bCs/>
        </w:rPr>
        <w:t xml:space="preserve">conomie et de Sciences Sociales. </w:t>
      </w:r>
    </w:p>
    <w:p w:rsidR="008E776A" w:rsidRPr="00BD60B4" w:rsidRDefault="008E776A" w:rsidP="00BD60B4">
      <w:pPr>
        <w:pStyle w:val="EndNoteBibliography"/>
        <w:spacing w:before="60"/>
        <w:ind w:left="720" w:hanging="720"/>
        <w:jc w:val="both"/>
        <w:rPr>
          <w:lang w:val="en-CA"/>
        </w:rPr>
      </w:pPr>
      <w:bookmarkStart w:id="81" w:name="_ENREF_15"/>
      <w:r w:rsidRPr="00BD60B4">
        <w:rPr>
          <w:lang w:val="en-CA"/>
        </w:rPr>
        <w:t xml:space="preserve">ELOUNDOU-ENYEGUE, P. M. Harnessing a demographic dividend: Challenges and opportunities in high and intermediate fertility countries. Expert Group Meeting </w:t>
      </w:r>
      <w:r w:rsidRPr="00BD60B4">
        <w:rPr>
          <w:lang w:val="en-CA"/>
        </w:rPr>
        <w:lastRenderedPageBreak/>
        <w:t>on Fertility, Changing Population Trends and Development: Challenges and Opportunities for the Future. New York: United Nations Population Division, 2013</w:t>
      </w:r>
      <w:bookmarkEnd w:id="81"/>
      <w:r w:rsidR="00716016">
        <w:rPr>
          <w:lang w:val="en-CA"/>
        </w:rPr>
        <w:t>, 12 p.</w:t>
      </w:r>
    </w:p>
    <w:p w:rsidR="003A6B9D" w:rsidRDefault="009A333B" w:rsidP="00D27687">
      <w:pPr>
        <w:pStyle w:val="EndNoteBibliography"/>
        <w:spacing w:before="60"/>
        <w:ind w:left="720" w:hanging="720"/>
        <w:jc w:val="both"/>
      </w:pPr>
      <w:bookmarkStart w:id="82" w:name="_ENREF_16"/>
      <w:r>
        <w:rPr>
          <w:lang w:val="en-CA"/>
        </w:rPr>
        <w:t>EMINA, J. B., CHIRWA, T. et</w:t>
      </w:r>
      <w:r w:rsidR="008E776A" w:rsidRPr="00BD60B4">
        <w:rPr>
          <w:lang w:val="en-CA"/>
        </w:rPr>
        <w:t xml:space="preserve"> KANDALA, N.-B. 2014. Trend in the use of modern contraception in sub-Saharan Africa: does women's education matter</w:t>
      </w:r>
      <w:r>
        <w:rPr>
          <w:lang w:val="en-CA"/>
        </w:rPr>
        <w:t> </w:t>
      </w:r>
      <w:r w:rsidR="008E776A" w:rsidRPr="00BD60B4">
        <w:rPr>
          <w:lang w:val="en-CA"/>
        </w:rPr>
        <w:t xml:space="preserve">? </w:t>
      </w:r>
      <w:r w:rsidR="008E776A" w:rsidRPr="00BD60B4">
        <w:rPr>
          <w:i/>
        </w:rPr>
        <w:t>Contraception,</w:t>
      </w:r>
      <w:r w:rsidR="008E776A" w:rsidRPr="00BD60B4">
        <w:t xml:space="preserve"> 90</w:t>
      </w:r>
      <w:r w:rsidR="008E776A" w:rsidRPr="00BD60B4">
        <w:rPr>
          <w:b/>
        </w:rPr>
        <w:t>,</w:t>
      </w:r>
      <w:r w:rsidR="008E776A" w:rsidRPr="00BD60B4">
        <w:t xml:space="preserve"> 154-161.</w:t>
      </w:r>
      <w:bookmarkStart w:id="83" w:name="_ENREF_17"/>
      <w:bookmarkEnd w:id="82"/>
    </w:p>
    <w:p w:rsidR="00B1585E" w:rsidRPr="002F03FD" w:rsidRDefault="009B11F1" w:rsidP="00BD60B4">
      <w:pPr>
        <w:pStyle w:val="EndNoteBibliography"/>
        <w:spacing w:before="60"/>
        <w:ind w:left="720" w:hanging="720"/>
        <w:jc w:val="both"/>
        <w:rPr>
          <w:lang w:val="fr-CA"/>
        </w:rPr>
      </w:pPr>
      <w:r>
        <w:t>EVINA AKAM, 2005</w:t>
      </w:r>
      <w:r w:rsidR="00B1585E">
        <w:t xml:space="preserve">. Les facteurs de la contraception au Cameroun au tournant du siècle, </w:t>
      </w:r>
      <w:r w:rsidR="00B1585E" w:rsidRPr="00FC2496">
        <w:rPr>
          <w:i/>
        </w:rPr>
        <w:t>Les Collections du CEPED</w:t>
      </w:r>
      <w:r w:rsidR="00B1585E">
        <w:t>, Centre Popul</w:t>
      </w:r>
      <w:r w:rsidR="001D39F2">
        <w:t>ation et Développement – Groupe I</w:t>
      </w:r>
      <w:r w:rsidR="00B1585E">
        <w:t>nternational de Partenaires Population – Santé, 61 p.</w:t>
      </w:r>
    </w:p>
    <w:p w:rsidR="00716016" w:rsidRDefault="003A6B9D" w:rsidP="00716016">
      <w:pPr>
        <w:pStyle w:val="EndNoteBibliography"/>
        <w:spacing w:before="60"/>
        <w:ind w:left="720" w:hanging="720"/>
        <w:jc w:val="both"/>
      </w:pPr>
      <w:r w:rsidRPr="002F03FD">
        <w:rPr>
          <w:lang w:val="fr-CA"/>
        </w:rPr>
        <w:t xml:space="preserve">GRIBBLE J.N. </w:t>
      </w:r>
      <w:r w:rsidR="00181502">
        <w:t>et</w:t>
      </w:r>
      <w:r w:rsidRPr="00BD60B4">
        <w:t xml:space="preserve"> Bremner J., 2012. Achieving a Demographic Dividend. </w:t>
      </w:r>
      <w:r w:rsidRPr="00BD60B4">
        <w:rPr>
          <w:i/>
        </w:rPr>
        <w:t>Population Bulletin</w:t>
      </w:r>
      <w:r w:rsidR="00716016">
        <w:t>, PRB, 67, 2, 1-12.</w:t>
      </w:r>
    </w:p>
    <w:p w:rsidR="008E776A" w:rsidRPr="00BD60B4" w:rsidRDefault="008E776A" w:rsidP="00BD60B4">
      <w:pPr>
        <w:pStyle w:val="EndNoteBibliography"/>
        <w:spacing w:before="60"/>
        <w:ind w:left="720" w:hanging="720"/>
        <w:jc w:val="both"/>
      </w:pPr>
      <w:r w:rsidRPr="00BD60B4">
        <w:t>GUENGANT, J.-P. 2011. Comment bénéficier du dividende démographique</w:t>
      </w:r>
      <w:r w:rsidR="00D27687">
        <w:t> </w:t>
      </w:r>
      <w:r w:rsidRPr="00BD60B4">
        <w:t>? Analyse pays Burkina Faso. Ouagadougou: Agence Française de Développement</w:t>
      </w:r>
      <w:bookmarkEnd w:id="83"/>
      <w:r w:rsidR="00E611B9">
        <w:t>, 33 p.</w:t>
      </w:r>
    </w:p>
    <w:p w:rsidR="00AE294E" w:rsidRPr="00BD60B4" w:rsidRDefault="00BD60B4" w:rsidP="00BD60B4">
      <w:pPr>
        <w:pStyle w:val="EndNoteBibliography"/>
        <w:spacing w:before="60"/>
        <w:ind w:left="720" w:hanging="720"/>
        <w:jc w:val="both"/>
      </w:pPr>
      <w:r w:rsidRPr="00BD60B4">
        <w:t>GUENGANT, J.-P. 2014</w:t>
      </w:r>
      <w:r w:rsidR="00AE294E" w:rsidRPr="00BD60B4">
        <w:t>. Comment bénéficier du di</w:t>
      </w:r>
      <w:r w:rsidR="009A333B">
        <w:t>vidende démographique </w:t>
      </w:r>
      <w:r w:rsidR="00AE294E" w:rsidRPr="00BD60B4">
        <w:t>? Replacer la population au centre des trajectoire de développement de la Côte d'Ivoire, Agence Française de Développement</w:t>
      </w:r>
      <w:r w:rsidR="00A76014" w:rsidRPr="00BD60B4">
        <w:t>, Paris (France), 118 p.</w:t>
      </w:r>
    </w:p>
    <w:p w:rsidR="008E776A" w:rsidRPr="00BD60B4" w:rsidRDefault="008E776A" w:rsidP="00BD60B4">
      <w:pPr>
        <w:pStyle w:val="EndNoteBibliography"/>
        <w:spacing w:before="60"/>
        <w:ind w:left="720" w:hanging="720"/>
        <w:jc w:val="both"/>
      </w:pPr>
      <w:bookmarkStart w:id="84" w:name="_ENREF_18"/>
      <w:r w:rsidRPr="00BD60B4">
        <w:t xml:space="preserve">INED 2002. </w:t>
      </w:r>
      <w:r w:rsidRPr="00BD60B4">
        <w:rPr>
          <w:i/>
        </w:rPr>
        <w:t>La population du monde</w:t>
      </w:r>
      <w:r w:rsidR="00D27687">
        <w:rPr>
          <w:i/>
        </w:rPr>
        <w:t> </w:t>
      </w:r>
      <w:r w:rsidRPr="00BD60B4">
        <w:rPr>
          <w:i/>
        </w:rPr>
        <w:t xml:space="preserve">: Géants démographiques et défis internationaux, </w:t>
      </w:r>
      <w:r w:rsidRPr="00BD60B4">
        <w:t>Paris, INED</w:t>
      </w:r>
      <w:bookmarkEnd w:id="84"/>
      <w:r w:rsidR="00E611B9">
        <w:t>, 1-3.</w:t>
      </w:r>
    </w:p>
    <w:p w:rsidR="008E776A" w:rsidRPr="00BD60B4" w:rsidRDefault="008E776A" w:rsidP="00BD60B4">
      <w:pPr>
        <w:pStyle w:val="EndNoteBibliography"/>
        <w:spacing w:before="60"/>
        <w:ind w:left="720" w:hanging="720"/>
        <w:jc w:val="both"/>
      </w:pPr>
      <w:bookmarkStart w:id="85" w:name="_ENREF_19"/>
      <w:r w:rsidRPr="00BD60B4">
        <w:t xml:space="preserve">INED 2013. Tous les pays du monde (2013). </w:t>
      </w:r>
      <w:r w:rsidRPr="00BD60B4">
        <w:rPr>
          <w:i/>
        </w:rPr>
        <w:t>Population &amp; Sociétés</w:t>
      </w:r>
      <w:r w:rsidRPr="00BD60B4">
        <w:rPr>
          <w:b/>
        </w:rPr>
        <w:t>,</w:t>
      </w:r>
      <w:r w:rsidRPr="00BD60B4">
        <w:t xml:space="preserve"> 1-7.</w:t>
      </w:r>
      <w:bookmarkEnd w:id="85"/>
    </w:p>
    <w:p w:rsidR="008E776A" w:rsidRPr="00BD60B4" w:rsidRDefault="008E776A" w:rsidP="00BD60B4">
      <w:pPr>
        <w:pStyle w:val="EndNoteBibliography"/>
        <w:spacing w:before="60"/>
        <w:ind w:left="720" w:hanging="720"/>
        <w:jc w:val="both"/>
      </w:pPr>
      <w:bookmarkStart w:id="86" w:name="_ENREF_20"/>
      <w:r w:rsidRPr="00BD60B4">
        <w:t>INS ET ICF INTERNATIONAL 2012. Enquête démographique et de santé et à indicateurs multiples au Cameroun 2011. Calverton, Maryland, USA</w:t>
      </w:r>
      <w:r w:rsidR="001D39F2">
        <w:t> </w:t>
      </w:r>
      <w:r w:rsidRPr="00BD60B4">
        <w:t>: INS et ICF International</w:t>
      </w:r>
      <w:bookmarkEnd w:id="86"/>
      <w:r w:rsidR="00E611B9">
        <w:t>, 529 p.</w:t>
      </w:r>
    </w:p>
    <w:p w:rsidR="008E776A" w:rsidRPr="00BD60B4" w:rsidRDefault="008E776A" w:rsidP="00BD60B4">
      <w:pPr>
        <w:pStyle w:val="EndNoteBibliography"/>
        <w:spacing w:before="60"/>
        <w:ind w:left="720" w:hanging="720"/>
        <w:jc w:val="both"/>
      </w:pPr>
      <w:bookmarkStart w:id="87" w:name="_ENREF_21"/>
      <w:r w:rsidRPr="00BD60B4">
        <w:t>INS ET ORC MACRO 1992. Enquête démographique et de santé au Cameroun 1991. Calverton, Maryland, USA: INS et ORC Macro</w:t>
      </w:r>
      <w:bookmarkEnd w:id="87"/>
      <w:r w:rsidR="00E611B9">
        <w:t>, 287 p.</w:t>
      </w:r>
    </w:p>
    <w:p w:rsidR="008E776A" w:rsidRPr="00BD60B4" w:rsidRDefault="008E776A" w:rsidP="00BD60B4">
      <w:pPr>
        <w:pStyle w:val="EndNoteBibliography"/>
        <w:spacing w:before="60"/>
        <w:ind w:left="720" w:hanging="720"/>
        <w:jc w:val="both"/>
        <w:rPr>
          <w:lang w:val="en-CA"/>
        </w:rPr>
      </w:pPr>
      <w:bookmarkStart w:id="88" w:name="_ENREF_22"/>
      <w:r w:rsidRPr="00BD60B4">
        <w:t xml:space="preserve">INS ET ORC MACRO 2004. Enquête démographique et de santé du Cameroun 2004. </w:t>
      </w:r>
      <w:r w:rsidRPr="00BD60B4">
        <w:rPr>
          <w:lang w:val="en-CA"/>
        </w:rPr>
        <w:t>Calverton, Maryland, USA: INS et ORC Macro</w:t>
      </w:r>
      <w:bookmarkEnd w:id="88"/>
      <w:r w:rsidR="00DD1C92">
        <w:rPr>
          <w:lang w:val="en-CA"/>
        </w:rPr>
        <w:t>, 322 p.</w:t>
      </w:r>
    </w:p>
    <w:p w:rsidR="008E776A" w:rsidRPr="00BD60B4" w:rsidRDefault="008E776A" w:rsidP="00BD60B4">
      <w:pPr>
        <w:pStyle w:val="EndNoteBibliography"/>
        <w:spacing w:before="60"/>
        <w:ind w:left="720" w:hanging="720"/>
        <w:jc w:val="both"/>
        <w:rPr>
          <w:lang w:val="en-CA"/>
        </w:rPr>
      </w:pPr>
      <w:bookmarkStart w:id="89" w:name="_ENREF_23"/>
      <w:r w:rsidRPr="00BD60B4">
        <w:rPr>
          <w:lang w:val="en-CA"/>
        </w:rPr>
        <w:t xml:space="preserve">LEE, R. 2007. Demographic change, welfare and intergenerational transfers: A global overview. </w:t>
      </w:r>
      <w:r w:rsidRPr="00BD60B4">
        <w:rPr>
          <w:i/>
          <w:lang w:val="en-CA"/>
        </w:rPr>
        <w:t>In:</w:t>
      </w:r>
      <w:r w:rsidRPr="00BD60B4">
        <w:rPr>
          <w:lang w:val="en-CA"/>
        </w:rPr>
        <w:t xml:space="preserve"> J. VÉRON, S. P. E. J. L. (ed.) </w:t>
      </w:r>
      <w:r w:rsidRPr="00BD60B4">
        <w:rPr>
          <w:i/>
          <w:lang w:val="en-CA"/>
        </w:rPr>
        <w:t>Ages, Generations and the Social Contact: The Demographic Changes Facing the Welfare State.</w:t>
      </w:r>
      <w:r w:rsidRPr="00BD60B4">
        <w:rPr>
          <w:lang w:val="en-CA"/>
        </w:rPr>
        <w:t xml:space="preserve"> Berlin: Springer</w:t>
      </w:r>
      <w:bookmarkEnd w:id="89"/>
      <w:r w:rsidR="007F6B24">
        <w:rPr>
          <w:lang w:val="en-CA"/>
        </w:rPr>
        <w:t>, 16 p.</w:t>
      </w:r>
    </w:p>
    <w:p w:rsidR="00555CA9" w:rsidRPr="00555CA9" w:rsidRDefault="00FE1118" w:rsidP="00555CA9">
      <w:pPr>
        <w:pStyle w:val="EndNoteBibliography"/>
        <w:spacing w:before="60"/>
        <w:ind w:left="720" w:hanging="720"/>
        <w:jc w:val="both"/>
      </w:pPr>
      <w:bookmarkStart w:id="90" w:name="_ENREF_25"/>
      <w:r w:rsidRPr="002F03FD">
        <w:rPr>
          <w:lang w:val="en-CA"/>
        </w:rPr>
        <w:t>LEGRAND</w:t>
      </w:r>
      <w:r w:rsidR="00555CA9" w:rsidRPr="002F03FD">
        <w:rPr>
          <w:lang w:val="en-CA"/>
        </w:rPr>
        <w:t xml:space="preserve">, T. (2003). World Population Growth and the Environment in </w:t>
      </w:r>
      <w:r w:rsidR="00555CA9" w:rsidRPr="002F03FD">
        <w:rPr>
          <w:i/>
          <w:iCs/>
          <w:lang w:val="en-CA"/>
        </w:rPr>
        <w:t>Encyclopedia of Life Support Systems</w:t>
      </w:r>
      <w:r w:rsidR="00555CA9" w:rsidRPr="002F03FD">
        <w:rPr>
          <w:lang w:val="en-CA"/>
        </w:rPr>
        <w:t xml:space="preserve">, UNESCO, EOLSS Publishers, Oxford, UK. </w:t>
      </w:r>
      <w:r w:rsidR="00555CA9" w:rsidRPr="00555CA9">
        <w:t>[Version préliminaire en français</w:t>
      </w:r>
      <w:r w:rsidR="001D39F2">
        <w:t> </w:t>
      </w:r>
      <w:r w:rsidR="00555CA9" w:rsidRPr="00555CA9">
        <w:t>: LeGrand</w:t>
      </w:r>
      <w:r w:rsidR="000A291A">
        <w:t>,</w:t>
      </w:r>
      <w:r w:rsidR="000A291A" w:rsidRPr="00555CA9">
        <w:t xml:space="preserve">T. </w:t>
      </w:r>
      <w:r w:rsidR="000A291A">
        <w:t xml:space="preserve">1998. </w:t>
      </w:r>
      <w:r w:rsidR="00555CA9" w:rsidRPr="00555CA9">
        <w:t>Croissance de la population mondia</w:t>
      </w:r>
      <w:r w:rsidR="000A291A">
        <w:t>le et environnement: les enjeux.</w:t>
      </w:r>
      <w:r w:rsidR="000A291A">
        <w:rPr>
          <w:i/>
          <w:iCs/>
        </w:rPr>
        <w:t>Cahiers Q</w:t>
      </w:r>
      <w:r w:rsidR="00555CA9" w:rsidRPr="00555CA9">
        <w:rPr>
          <w:i/>
          <w:iCs/>
        </w:rPr>
        <w:t>uébécois de</w:t>
      </w:r>
      <w:r w:rsidR="000A291A">
        <w:rPr>
          <w:i/>
          <w:iCs/>
        </w:rPr>
        <w:t xml:space="preserve"> D</w:t>
      </w:r>
      <w:r w:rsidR="00555CA9" w:rsidRPr="00555CA9">
        <w:rPr>
          <w:i/>
          <w:iCs/>
        </w:rPr>
        <w:t>émographie</w:t>
      </w:r>
      <w:r w:rsidR="000A291A">
        <w:rPr>
          <w:i/>
          <w:iCs/>
        </w:rPr>
        <w:t>,</w:t>
      </w:r>
      <w:r w:rsidR="00555CA9" w:rsidRPr="00555CA9">
        <w:t>27, 2, 221-252</w:t>
      </w:r>
      <w:r w:rsidR="000A291A">
        <w:t>]</w:t>
      </w:r>
      <w:r w:rsidR="00555CA9" w:rsidRPr="00555CA9">
        <w:t>.</w:t>
      </w:r>
    </w:p>
    <w:p w:rsidR="008E776A" w:rsidRPr="00BD60B4" w:rsidRDefault="008E776A" w:rsidP="00555CA9">
      <w:pPr>
        <w:pStyle w:val="EndNoteBibliography"/>
        <w:spacing w:before="60"/>
        <w:ind w:left="720" w:hanging="720"/>
        <w:jc w:val="both"/>
      </w:pPr>
      <w:r w:rsidRPr="00BD60B4">
        <w:t xml:space="preserve">LERIDON, H. 2015. Afrique subsaharienne: une transition démographique explosive. </w:t>
      </w:r>
      <w:r w:rsidRPr="00BD60B4">
        <w:rPr>
          <w:i/>
        </w:rPr>
        <w:t>Futuribles,</w:t>
      </w:r>
      <w:r w:rsidRPr="00BD60B4">
        <w:t xml:space="preserve"> 407</w:t>
      </w:r>
      <w:r w:rsidRPr="00BD60B4">
        <w:rPr>
          <w:b/>
        </w:rPr>
        <w:t>,</w:t>
      </w:r>
      <w:r w:rsidRPr="00BD60B4">
        <w:t xml:space="preserve"> 5-21.</w:t>
      </w:r>
      <w:bookmarkEnd w:id="90"/>
    </w:p>
    <w:p w:rsidR="008E776A" w:rsidRPr="00BD60B4" w:rsidRDefault="00181502" w:rsidP="00BD60B4">
      <w:pPr>
        <w:pStyle w:val="EndNoteBibliography"/>
        <w:spacing w:before="60"/>
        <w:ind w:left="720" w:hanging="720"/>
        <w:jc w:val="both"/>
      </w:pPr>
      <w:bookmarkStart w:id="91" w:name="_ENREF_26"/>
      <w:r>
        <w:t>LOCOH, T. et</w:t>
      </w:r>
      <w:r w:rsidR="008E776A" w:rsidRPr="00BD60B4">
        <w:t xml:space="preserve"> VANDERMEERSCH, C. 2006. La maîtrise de la fécondité dans les pays du Tiers-Monde. </w:t>
      </w:r>
      <w:r w:rsidR="008E776A" w:rsidRPr="00BD60B4">
        <w:rPr>
          <w:i/>
        </w:rPr>
        <w:t>In:</w:t>
      </w:r>
      <w:r>
        <w:t xml:space="preserve"> CASELLI, G., VALLIN, J. et</w:t>
      </w:r>
      <w:r w:rsidR="008E776A" w:rsidRPr="00BD60B4">
        <w:t xml:space="preserve"> WUNSCH, G. (eds.) </w:t>
      </w:r>
      <w:r w:rsidR="008E776A" w:rsidRPr="00BD60B4">
        <w:rPr>
          <w:i/>
        </w:rPr>
        <w:t>Démographie: analyse et synthèse. VII: Histoire des idées et politiques de population.</w:t>
      </w:r>
      <w:r w:rsidR="008E776A" w:rsidRPr="00BD60B4">
        <w:t xml:space="preserve"> Paris: INED</w:t>
      </w:r>
      <w:bookmarkEnd w:id="91"/>
      <w:r w:rsidR="00EA4CBD">
        <w:t>, 193-221.</w:t>
      </w:r>
    </w:p>
    <w:p w:rsidR="008E776A" w:rsidRPr="00BD60B4" w:rsidRDefault="008E776A" w:rsidP="00BD60B4">
      <w:pPr>
        <w:pStyle w:val="EndNoteBibliography"/>
        <w:spacing w:before="60"/>
        <w:ind w:left="720" w:hanging="720"/>
        <w:jc w:val="both"/>
        <w:rPr>
          <w:lang w:val="en-CA"/>
        </w:rPr>
      </w:pPr>
      <w:bookmarkStart w:id="92" w:name="_ENREF_27"/>
      <w:r w:rsidRPr="00BD60B4">
        <w:rPr>
          <w:lang w:val="en-CA"/>
        </w:rPr>
        <w:t xml:space="preserve">MARALANI, V. 2008. The changing relationship between family size and birth order on children’s education. </w:t>
      </w:r>
      <w:r w:rsidRPr="00BD60B4">
        <w:rPr>
          <w:i/>
          <w:lang w:val="en-CA"/>
        </w:rPr>
        <w:t>Demography,</w:t>
      </w:r>
      <w:r w:rsidRPr="00BD60B4">
        <w:rPr>
          <w:lang w:val="en-CA"/>
        </w:rPr>
        <w:t xml:space="preserve"> 45</w:t>
      </w:r>
      <w:r w:rsidRPr="00BD60B4">
        <w:rPr>
          <w:b/>
          <w:lang w:val="en-CA"/>
        </w:rPr>
        <w:t>,</w:t>
      </w:r>
      <w:r w:rsidRPr="00BD60B4">
        <w:rPr>
          <w:lang w:val="en-CA"/>
        </w:rPr>
        <w:t xml:space="preserve"> 693-717.</w:t>
      </w:r>
      <w:bookmarkEnd w:id="92"/>
    </w:p>
    <w:p w:rsidR="008E776A" w:rsidRPr="00BD60B4" w:rsidRDefault="008E776A" w:rsidP="00BD60B4">
      <w:pPr>
        <w:pStyle w:val="EndNoteBibliography"/>
        <w:spacing w:before="60"/>
        <w:ind w:left="720" w:hanging="720"/>
        <w:jc w:val="both"/>
        <w:rPr>
          <w:lang w:val="en-CA"/>
        </w:rPr>
      </w:pPr>
      <w:bookmarkStart w:id="93" w:name="_ENREF_28"/>
      <w:r w:rsidRPr="00BD60B4">
        <w:rPr>
          <w:lang w:val="en-CA"/>
        </w:rPr>
        <w:t xml:space="preserve">MONTGOMERY, M. 2003. </w:t>
      </w:r>
      <w:r w:rsidRPr="00BD60B4">
        <w:rPr>
          <w:i/>
          <w:lang w:val="en-CA"/>
        </w:rPr>
        <w:t xml:space="preserve">Cities transformed: demographic change and its implications in the developing world, </w:t>
      </w:r>
      <w:r w:rsidRPr="00BD60B4">
        <w:rPr>
          <w:lang w:val="en-CA"/>
        </w:rPr>
        <w:t>Washington DC, National Academy Press</w:t>
      </w:r>
      <w:bookmarkEnd w:id="93"/>
      <w:r w:rsidR="00EA4CBD">
        <w:rPr>
          <w:lang w:val="en-CA"/>
        </w:rPr>
        <w:t>,</w:t>
      </w:r>
      <w:r w:rsidR="00EA4CBD" w:rsidRPr="002F03FD">
        <w:rPr>
          <w:lang w:val="en-CA"/>
        </w:rPr>
        <w:t>529 p.</w:t>
      </w:r>
    </w:p>
    <w:p w:rsidR="008E776A" w:rsidRPr="00BD60B4" w:rsidRDefault="008E776A" w:rsidP="00BD60B4">
      <w:pPr>
        <w:pStyle w:val="EndNoteBibliography"/>
        <w:spacing w:before="60"/>
        <w:ind w:left="720" w:hanging="720"/>
        <w:jc w:val="both"/>
        <w:rPr>
          <w:lang w:val="en-CA"/>
        </w:rPr>
      </w:pPr>
      <w:bookmarkStart w:id="94" w:name="_ENREF_29"/>
      <w:r w:rsidRPr="00BD60B4">
        <w:rPr>
          <w:lang w:val="en-CA"/>
        </w:rPr>
        <w:lastRenderedPageBreak/>
        <w:t xml:space="preserve">MONTGOMERY, M. R. 2009. Urban poverty and health in developing countries. </w:t>
      </w:r>
      <w:r w:rsidRPr="00BD60B4">
        <w:rPr>
          <w:i/>
          <w:lang w:val="en-CA"/>
        </w:rPr>
        <w:t>Population Bulletin.</w:t>
      </w:r>
      <w:r w:rsidRPr="00BD60B4">
        <w:rPr>
          <w:lang w:val="en-CA"/>
        </w:rPr>
        <w:t xml:space="preserve"> Washington, DC</w:t>
      </w:r>
      <w:r w:rsidR="001D39F2">
        <w:rPr>
          <w:lang w:val="en-CA"/>
        </w:rPr>
        <w:t> </w:t>
      </w:r>
      <w:r w:rsidRPr="00BD60B4">
        <w:rPr>
          <w:lang w:val="en-CA"/>
        </w:rPr>
        <w:t>: Population Reference Bureau</w:t>
      </w:r>
      <w:bookmarkEnd w:id="94"/>
      <w:r w:rsidR="00EA4CBD">
        <w:rPr>
          <w:lang w:val="en-CA"/>
        </w:rPr>
        <w:t>,</w:t>
      </w:r>
      <w:r w:rsidR="00EA4CBD" w:rsidRPr="002F03FD">
        <w:rPr>
          <w:sz w:val="23"/>
          <w:szCs w:val="23"/>
          <w:lang w:val="en-CA"/>
        </w:rPr>
        <w:t xml:space="preserve"> 64, 1-15.</w:t>
      </w:r>
    </w:p>
    <w:p w:rsidR="008E776A" w:rsidRPr="00BD60B4" w:rsidRDefault="008E776A" w:rsidP="00BD60B4">
      <w:pPr>
        <w:pStyle w:val="EndNoteBibliography"/>
        <w:spacing w:before="60"/>
        <w:ind w:left="720" w:hanging="720"/>
        <w:jc w:val="both"/>
        <w:rPr>
          <w:lang w:val="en-CA"/>
        </w:rPr>
      </w:pPr>
      <w:bookmarkStart w:id="95" w:name="_ENREF_30"/>
      <w:r w:rsidRPr="00BD60B4">
        <w:rPr>
          <w:lang w:val="en-CA"/>
        </w:rPr>
        <w:t>MORELAND, S</w:t>
      </w:r>
      <w:r w:rsidR="00181502">
        <w:rPr>
          <w:lang w:val="en-CA"/>
        </w:rPr>
        <w:t>., MADSEN, B. K., HAMILTON, M. et</w:t>
      </w:r>
      <w:r w:rsidRPr="00BD60B4">
        <w:rPr>
          <w:lang w:val="en-CA"/>
        </w:rPr>
        <w:t xml:space="preserve"> JURCZYNSKA, K. 2014. Modeling the demographic dividend</w:t>
      </w:r>
      <w:r w:rsidR="001D39F2">
        <w:rPr>
          <w:lang w:val="en-CA"/>
        </w:rPr>
        <w:t> </w:t>
      </w:r>
      <w:r w:rsidRPr="00BD60B4">
        <w:rPr>
          <w:lang w:val="en-CA"/>
        </w:rPr>
        <w:t>: Technical guide to the DemDiv model. Pennsylvania: Futures Group</w:t>
      </w:r>
      <w:bookmarkEnd w:id="95"/>
      <w:r w:rsidR="00EA4CBD">
        <w:rPr>
          <w:lang w:val="en-CA"/>
        </w:rPr>
        <w:t>, 35 p.</w:t>
      </w:r>
    </w:p>
    <w:p w:rsidR="008E776A" w:rsidRPr="00BD60B4" w:rsidRDefault="00FE1118" w:rsidP="00BD60B4">
      <w:pPr>
        <w:pStyle w:val="EndNoteBibliography"/>
        <w:spacing w:before="60"/>
        <w:ind w:left="720" w:hanging="720"/>
        <w:jc w:val="both"/>
        <w:rPr>
          <w:lang w:val="en-CA"/>
        </w:rPr>
      </w:pPr>
      <w:bookmarkStart w:id="96" w:name="_ENREF_31"/>
      <w:r>
        <w:rPr>
          <w:lang w:val="en-CA"/>
        </w:rPr>
        <w:t>NATIONS</w:t>
      </w:r>
      <w:r w:rsidR="008E776A" w:rsidRPr="00BD60B4">
        <w:rPr>
          <w:lang w:val="en-CA"/>
        </w:rPr>
        <w:t xml:space="preserve"> U</w:t>
      </w:r>
      <w:r>
        <w:rPr>
          <w:lang w:val="en-CA"/>
        </w:rPr>
        <w:t>NIES</w:t>
      </w:r>
      <w:r w:rsidR="008E776A" w:rsidRPr="00BD60B4">
        <w:rPr>
          <w:lang w:val="en-CA"/>
        </w:rPr>
        <w:t>. 2015. Revision of World Population Prospects New York: UN</w:t>
      </w:r>
      <w:bookmarkEnd w:id="96"/>
      <w:r w:rsidR="001A1209">
        <w:rPr>
          <w:lang w:val="en-CA"/>
        </w:rPr>
        <w:t>, 59 p.</w:t>
      </w:r>
    </w:p>
    <w:p w:rsidR="008E776A" w:rsidRPr="00BD60B4" w:rsidRDefault="008E776A" w:rsidP="00BD60B4">
      <w:pPr>
        <w:pStyle w:val="EndNoteBibliography"/>
        <w:spacing w:before="60"/>
        <w:ind w:left="720" w:hanging="720"/>
        <w:jc w:val="both"/>
        <w:rPr>
          <w:lang w:val="en-CA"/>
        </w:rPr>
      </w:pPr>
      <w:bookmarkStart w:id="97" w:name="_ENREF_32"/>
      <w:r w:rsidRPr="00BD60B4">
        <w:rPr>
          <w:lang w:val="en-CA"/>
        </w:rPr>
        <w:t xml:space="preserve">NOTESTEIN, F. W. 1945. </w:t>
      </w:r>
      <w:bookmarkEnd w:id="97"/>
      <w:r w:rsidR="00EA4CBD" w:rsidRPr="00EA4CBD">
        <w:rPr>
          <w:i/>
          <w:lang w:val="en-CA"/>
        </w:rPr>
        <w:t>Population- the long view</w:t>
      </w:r>
      <w:r w:rsidR="00EA4CBD" w:rsidRPr="00EA4CBD">
        <w:rPr>
          <w:lang w:val="en-CA"/>
        </w:rPr>
        <w:t xml:space="preserve"> in T.W. Schultz (ed.), </w:t>
      </w:r>
      <w:r w:rsidR="00EA4CBD" w:rsidRPr="00EA4CBD">
        <w:rPr>
          <w:i/>
          <w:iCs/>
          <w:lang w:val="en-CA"/>
        </w:rPr>
        <w:t>Food for the world, University</w:t>
      </w:r>
      <w:r w:rsidR="00EA4CBD" w:rsidRPr="00EA4CBD">
        <w:rPr>
          <w:lang w:val="en-CA"/>
        </w:rPr>
        <w:t xml:space="preserve"> of Chicago Press, 36-57.</w:t>
      </w:r>
    </w:p>
    <w:p w:rsidR="008E776A" w:rsidRPr="00BD60B4" w:rsidRDefault="008E776A" w:rsidP="00BD60B4">
      <w:pPr>
        <w:pStyle w:val="EndNoteBibliography"/>
        <w:spacing w:before="60"/>
        <w:ind w:left="720" w:hanging="720"/>
        <w:jc w:val="both"/>
      </w:pPr>
      <w:bookmarkStart w:id="98" w:name="_ENREF_33"/>
      <w:r w:rsidRPr="00BD60B4">
        <w:rPr>
          <w:lang w:val="en-CA"/>
        </w:rPr>
        <w:t>OLATOREGUN, O., FAGBAMIGBE, A. F., AKIN</w:t>
      </w:r>
      <w:r w:rsidR="00181502">
        <w:rPr>
          <w:lang w:val="en-CA"/>
        </w:rPr>
        <w:t>YEMI, O. J., OYINDAMOLA, B. Y. et</w:t>
      </w:r>
      <w:r w:rsidRPr="00BD60B4">
        <w:rPr>
          <w:lang w:val="en-CA"/>
        </w:rPr>
        <w:t xml:space="preserve"> BAMGBOYE, E. A. 2014. A comparative analysis of fertility differentials in Ghana and Nigeria. </w:t>
      </w:r>
      <w:r w:rsidRPr="00BD60B4">
        <w:rPr>
          <w:i/>
        </w:rPr>
        <w:t>African Journal of Reproductive Health,</w:t>
      </w:r>
      <w:r w:rsidRPr="00BD60B4">
        <w:t xml:space="preserve"> 18</w:t>
      </w:r>
      <w:r w:rsidRPr="00BD60B4">
        <w:rPr>
          <w:b/>
        </w:rPr>
        <w:t>,</w:t>
      </w:r>
      <w:r w:rsidRPr="00BD60B4">
        <w:t xml:space="preserve"> 36-47.</w:t>
      </w:r>
      <w:bookmarkEnd w:id="98"/>
    </w:p>
    <w:p w:rsidR="008E776A" w:rsidRPr="00BD60B4" w:rsidRDefault="008E776A" w:rsidP="00BD60B4">
      <w:pPr>
        <w:pStyle w:val="EndNoteBibliography"/>
        <w:spacing w:before="60"/>
        <w:ind w:left="720" w:hanging="720"/>
        <w:jc w:val="both"/>
      </w:pPr>
      <w:bookmarkStart w:id="99" w:name="_ENREF_34"/>
      <w:r w:rsidRPr="00BD60B4">
        <w:t>OMS 2015. Tendances de la mortalité maternelle: 1991-2015: estimations de l'OMS, l'UNICEF, l'UNFPA, le Groupe de la Banque mondiale et la Division de la population des Nations Unies</w:t>
      </w:r>
      <w:r w:rsidR="001D39F2">
        <w:t> </w:t>
      </w:r>
      <w:r w:rsidRPr="00BD60B4">
        <w:t>: résumé d'orientation</w:t>
      </w:r>
      <w:bookmarkEnd w:id="99"/>
      <w:r w:rsidR="00EA4CBD">
        <w:t>, 24 p.</w:t>
      </w:r>
    </w:p>
    <w:p w:rsidR="008E776A" w:rsidRPr="00BD60B4" w:rsidRDefault="008E776A" w:rsidP="00BD60B4">
      <w:pPr>
        <w:pStyle w:val="EndNoteBibliography"/>
        <w:spacing w:before="60"/>
        <w:ind w:left="720" w:hanging="720"/>
        <w:jc w:val="both"/>
        <w:rPr>
          <w:lang w:val="en-CA"/>
        </w:rPr>
      </w:pPr>
      <w:bookmarkStart w:id="100" w:name="_ENREF_35"/>
      <w:r w:rsidRPr="00BD60B4">
        <w:t>ROBINSON, N., MOSHABELA, M.</w:t>
      </w:r>
      <w:r w:rsidR="00181502">
        <w:t>, OWUSU-ANSAH, L., KAPUNGU, C. et</w:t>
      </w:r>
      <w:r w:rsidRPr="00BD60B4">
        <w:t xml:space="preserve"> GELLER, S. 2016. </w:t>
      </w:r>
      <w:r w:rsidRPr="00BD60B4">
        <w:rPr>
          <w:lang w:val="en-CA"/>
        </w:rPr>
        <w:t xml:space="preserve">Barriers to intrauterine device uptake in a rural setting in Ghana. </w:t>
      </w:r>
      <w:r w:rsidR="001D39F2">
        <w:rPr>
          <w:i/>
          <w:lang w:val="en-CA"/>
        </w:rPr>
        <w:t>Health Care for Women I</w:t>
      </w:r>
      <w:r w:rsidRPr="00BD60B4">
        <w:rPr>
          <w:i/>
          <w:lang w:val="en-CA"/>
        </w:rPr>
        <w:t>nternational,</w:t>
      </w:r>
      <w:r w:rsidRPr="00BD60B4">
        <w:rPr>
          <w:lang w:val="en-CA"/>
        </w:rPr>
        <w:t xml:space="preserve"> 37</w:t>
      </w:r>
      <w:r w:rsidRPr="00BD60B4">
        <w:rPr>
          <w:b/>
          <w:lang w:val="en-CA"/>
        </w:rPr>
        <w:t>,</w:t>
      </w:r>
      <w:r w:rsidRPr="00BD60B4">
        <w:rPr>
          <w:lang w:val="en-CA"/>
        </w:rPr>
        <w:t xml:space="preserve"> 197-215.</w:t>
      </w:r>
      <w:bookmarkEnd w:id="100"/>
    </w:p>
    <w:p w:rsidR="008E776A" w:rsidRPr="00BD60B4" w:rsidRDefault="00181502" w:rsidP="00BD60B4">
      <w:pPr>
        <w:pStyle w:val="EndNoteBibliography"/>
        <w:spacing w:before="60"/>
        <w:ind w:left="720" w:hanging="720"/>
        <w:jc w:val="both"/>
      </w:pPr>
      <w:bookmarkStart w:id="101" w:name="_ENREF_36"/>
      <w:r>
        <w:rPr>
          <w:lang w:val="en-CA"/>
        </w:rPr>
        <w:t>RUTENBERG, N. et</w:t>
      </w:r>
      <w:r w:rsidR="008E776A" w:rsidRPr="00BD60B4">
        <w:rPr>
          <w:lang w:val="en-CA"/>
        </w:rPr>
        <w:t xml:space="preserve"> WATKINS, S. C. 1997. The buzz outside the clinics: conversations and contraception in Nyanza Province, Kenya. </w:t>
      </w:r>
      <w:r w:rsidR="008E776A" w:rsidRPr="00BD60B4">
        <w:rPr>
          <w:i/>
        </w:rPr>
        <w:t>Studies in Family Planning,</w:t>
      </w:r>
      <w:r w:rsidR="008E776A" w:rsidRPr="00BD60B4">
        <w:t xml:space="preserve"> 28</w:t>
      </w:r>
      <w:r w:rsidR="008E776A" w:rsidRPr="00BD60B4">
        <w:rPr>
          <w:b/>
        </w:rPr>
        <w:t>,</w:t>
      </w:r>
      <w:r w:rsidR="008E776A" w:rsidRPr="00BD60B4">
        <w:t xml:space="preserve"> 290-307.</w:t>
      </w:r>
      <w:bookmarkEnd w:id="101"/>
    </w:p>
    <w:p w:rsidR="008E776A" w:rsidRPr="00BD60B4" w:rsidRDefault="008E776A" w:rsidP="00BD60B4">
      <w:pPr>
        <w:pStyle w:val="EndNoteBibliography"/>
        <w:spacing w:before="60"/>
        <w:ind w:left="720" w:hanging="720"/>
        <w:jc w:val="both"/>
        <w:rPr>
          <w:lang w:val="en-CA"/>
        </w:rPr>
      </w:pPr>
      <w:bookmarkStart w:id="102" w:name="_ENREF_37"/>
      <w:r w:rsidRPr="00BD60B4">
        <w:t>SCHOUMAKER, B. 2004. Pauvreté et fécondité en Afrique sub-saharienne</w:t>
      </w:r>
      <w:r w:rsidR="001D39F2">
        <w:t> </w:t>
      </w:r>
      <w:r w:rsidRPr="00BD60B4">
        <w:t xml:space="preserve">: une analyse comparative des enquêtes démographiques et de santé. </w:t>
      </w:r>
      <w:r w:rsidRPr="00BD60B4">
        <w:rPr>
          <w:i/>
          <w:lang w:val="en-CA"/>
        </w:rPr>
        <w:t>African Population Studies,</w:t>
      </w:r>
      <w:r w:rsidRPr="00BD60B4">
        <w:rPr>
          <w:lang w:val="en-CA"/>
        </w:rPr>
        <w:t xml:space="preserve"> 19</w:t>
      </w:r>
      <w:r w:rsidRPr="00BD60B4">
        <w:rPr>
          <w:b/>
          <w:lang w:val="en-CA"/>
        </w:rPr>
        <w:t>,</w:t>
      </w:r>
      <w:r w:rsidRPr="00BD60B4">
        <w:rPr>
          <w:lang w:val="en-CA"/>
        </w:rPr>
        <w:t xml:space="preserve"> 13-45.</w:t>
      </w:r>
      <w:bookmarkEnd w:id="102"/>
    </w:p>
    <w:p w:rsidR="008E776A" w:rsidRPr="00BD60B4" w:rsidRDefault="00181502" w:rsidP="00BD60B4">
      <w:pPr>
        <w:pStyle w:val="EndNoteBibliography"/>
        <w:spacing w:before="60"/>
        <w:ind w:left="720" w:hanging="720"/>
        <w:jc w:val="both"/>
      </w:pPr>
      <w:bookmarkStart w:id="103" w:name="_ENREF_38"/>
      <w:r>
        <w:rPr>
          <w:lang w:val="en-CA"/>
        </w:rPr>
        <w:t>SMITH, C. A., STONE, R. P. et</w:t>
      </w:r>
      <w:r w:rsidR="008E776A" w:rsidRPr="00BD60B4">
        <w:rPr>
          <w:lang w:val="en-CA"/>
        </w:rPr>
        <w:t xml:space="preserve"> KAHANDO, S. 2012. A model of women’s educational factors related to delaying girls’ marriage. </w:t>
      </w:r>
      <w:r w:rsidR="008E776A" w:rsidRPr="00BD60B4">
        <w:rPr>
          <w:i/>
        </w:rPr>
        <w:t>International Review of Education,</w:t>
      </w:r>
      <w:r w:rsidR="008E776A" w:rsidRPr="00BD60B4">
        <w:t xml:space="preserve"> 58</w:t>
      </w:r>
      <w:r w:rsidR="008E776A" w:rsidRPr="00BD60B4">
        <w:rPr>
          <w:b/>
        </w:rPr>
        <w:t>,</w:t>
      </w:r>
      <w:r w:rsidR="008E776A" w:rsidRPr="00BD60B4">
        <w:t xml:space="preserve"> 533-555.</w:t>
      </w:r>
      <w:bookmarkEnd w:id="103"/>
    </w:p>
    <w:p w:rsidR="008E776A" w:rsidRPr="00BD60B4" w:rsidRDefault="008E776A" w:rsidP="00BD60B4">
      <w:pPr>
        <w:pStyle w:val="EndNoteBibliography"/>
        <w:spacing w:before="60"/>
        <w:ind w:left="720" w:hanging="720"/>
        <w:jc w:val="both"/>
      </w:pPr>
      <w:bookmarkStart w:id="104" w:name="_ENREF_39"/>
      <w:r w:rsidRPr="00BD60B4">
        <w:t>SOURA, A. B. 2009. Analyse de la mortalité et de la santé des enfants à Ouagadougou. Louvain</w:t>
      </w:r>
      <w:r w:rsidR="001D39F2">
        <w:t> </w:t>
      </w:r>
      <w:r w:rsidRPr="00BD60B4">
        <w:t>: Presses universitaires de Louvain</w:t>
      </w:r>
      <w:bookmarkEnd w:id="104"/>
      <w:r w:rsidR="007F3AA6">
        <w:t>, 340 p.</w:t>
      </w:r>
    </w:p>
    <w:p w:rsidR="008E776A" w:rsidRPr="002F03FD" w:rsidRDefault="00181502" w:rsidP="00BD60B4">
      <w:pPr>
        <w:pStyle w:val="EndNoteBibliography"/>
        <w:spacing w:before="60"/>
        <w:ind w:left="720" w:hanging="720"/>
        <w:jc w:val="both"/>
        <w:rPr>
          <w:lang w:val="fr-CA"/>
        </w:rPr>
      </w:pPr>
      <w:bookmarkStart w:id="105" w:name="_ENREF_40"/>
      <w:r>
        <w:t>TABUTIN, D. et</w:t>
      </w:r>
      <w:r w:rsidR="008E776A" w:rsidRPr="00BD60B4">
        <w:t xml:space="preserve"> SCHOUMAKER, B. 2004. La démographie de l'Afrique au sud du Sahara des années 1950 aux annéees 2000. </w:t>
      </w:r>
      <w:r w:rsidR="008E776A" w:rsidRPr="002F03FD">
        <w:rPr>
          <w:i/>
          <w:lang w:val="fr-CA"/>
        </w:rPr>
        <w:t>Population,</w:t>
      </w:r>
      <w:r w:rsidR="008E776A" w:rsidRPr="002F03FD">
        <w:rPr>
          <w:lang w:val="fr-CA"/>
        </w:rPr>
        <w:t xml:space="preserve"> 59</w:t>
      </w:r>
      <w:r w:rsidR="008E776A" w:rsidRPr="002F03FD">
        <w:rPr>
          <w:b/>
          <w:lang w:val="fr-CA"/>
        </w:rPr>
        <w:t>,</w:t>
      </w:r>
      <w:r w:rsidR="008E776A" w:rsidRPr="002F03FD">
        <w:rPr>
          <w:lang w:val="fr-CA"/>
        </w:rPr>
        <w:t xml:space="preserve"> 521-622.</w:t>
      </w:r>
      <w:bookmarkEnd w:id="105"/>
    </w:p>
    <w:p w:rsidR="00954662" w:rsidRPr="002F03FD" w:rsidRDefault="00954662" w:rsidP="00BD60B4">
      <w:pPr>
        <w:pStyle w:val="EndNoteBibliography"/>
        <w:spacing w:before="60"/>
        <w:ind w:left="720" w:hanging="720"/>
        <w:jc w:val="both"/>
        <w:rPr>
          <w:lang w:val="fr-CA"/>
        </w:rPr>
      </w:pPr>
      <w:r w:rsidRPr="002F03FD">
        <w:rPr>
          <w:lang w:val="fr-CA"/>
        </w:rPr>
        <w:t>UNFPA</w:t>
      </w:r>
      <w:r w:rsidR="007F5693" w:rsidRPr="002F03FD">
        <w:rPr>
          <w:lang w:val="fr-CA"/>
        </w:rPr>
        <w:t>, UA et UN</w:t>
      </w:r>
      <w:r w:rsidRPr="002F03FD">
        <w:rPr>
          <w:lang w:val="fr-CA"/>
        </w:rPr>
        <w:t xml:space="preserve">. 2013. </w:t>
      </w:r>
      <w:r w:rsidRPr="00954662">
        <w:t>Harnessing the Demographic Dividend</w:t>
      </w:r>
      <w:r>
        <w:t>. Addis Ababa, 9 p.</w:t>
      </w:r>
    </w:p>
    <w:p w:rsidR="00C72814" w:rsidRPr="00BD60B4" w:rsidRDefault="00C72814" w:rsidP="00BD60B4">
      <w:pPr>
        <w:pStyle w:val="EndNoteBibliography"/>
        <w:spacing w:before="60"/>
        <w:ind w:left="720" w:hanging="720"/>
        <w:jc w:val="both"/>
        <w:rPr>
          <w:lang w:val="en-CA"/>
        </w:rPr>
      </w:pPr>
      <w:r w:rsidRPr="002F03FD">
        <w:rPr>
          <w:lang w:val="fr-CA"/>
        </w:rPr>
        <w:t xml:space="preserve">UNFPA. 2016. État de la population mondiale. </w:t>
      </w:r>
      <w:r>
        <w:rPr>
          <w:lang w:val="en-CA"/>
        </w:rPr>
        <w:t>New York, 112 p.</w:t>
      </w:r>
    </w:p>
    <w:p w:rsidR="008E776A" w:rsidRDefault="008E776A" w:rsidP="00FE4404">
      <w:pPr>
        <w:pStyle w:val="EndNoteBibliography"/>
        <w:spacing w:before="60"/>
        <w:ind w:left="720" w:hanging="720"/>
        <w:jc w:val="both"/>
        <w:rPr>
          <w:lang w:val="en-CA"/>
        </w:rPr>
      </w:pPr>
      <w:bookmarkStart w:id="106" w:name="_ENREF_41"/>
      <w:r w:rsidRPr="00BD60B4">
        <w:rPr>
          <w:lang w:val="en-CA"/>
        </w:rPr>
        <w:t>UNICEF</w:t>
      </w:r>
      <w:r w:rsidR="00C72814">
        <w:rPr>
          <w:lang w:val="en-CA"/>
        </w:rPr>
        <w:t>.</w:t>
      </w:r>
      <w:r w:rsidRPr="00BD60B4">
        <w:rPr>
          <w:lang w:val="en-CA"/>
        </w:rPr>
        <w:t xml:space="preserve"> 2015. Levels and trends in child mortality. New York: UNICEF</w:t>
      </w:r>
      <w:bookmarkEnd w:id="106"/>
      <w:r w:rsidR="001A1209">
        <w:rPr>
          <w:lang w:val="en-CA"/>
        </w:rPr>
        <w:t>, 32 p.</w:t>
      </w:r>
    </w:p>
    <w:p w:rsidR="00A703E6" w:rsidRPr="00FE4404" w:rsidRDefault="00BF1076" w:rsidP="00FE4404">
      <w:pPr>
        <w:jc w:val="both"/>
      </w:pPr>
      <w:r>
        <w:rPr>
          <w:lang w:val="en-CA"/>
        </w:rPr>
        <w:t>U</w:t>
      </w:r>
      <w:r w:rsidR="00FE1118">
        <w:rPr>
          <w:lang w:val="en-CA"/>
        </w:rPr>
        <w:t xml:space="preserve">NION AFRICAINE. </w:t>
      </w:r>
      <w:r w:rsidRPr="002F03FD">
        <w:rPr>
          <w:lang w:val="fr-CA"/>
        </w:rPr>
        <w:t xml:space="preserve">2017. </w:t>
      </w:r>
      <w:r w:rsidRPr="00640097">
        <w:t>Tirer pleinement profit du dividende démographique en investissant dans la jeunesse</w:t>
      </w:r>
      <w:r w:rsidR="00FE4404">
        <w:t>. Addis Abba, 46 p.</w:t>
      </w:r>
    </w:p>
    <w:p w:rsidR="008E776A" w:rsidRPr="00BD60B4" w:rsidRDefault="008E776A" w:rsidP="00BD60B4">
      <w:pPr>
        <w:pStyle w:val="EndNoteBibliography"/>
        <w:spacing w:before="60"/>
        <w:ind w:left="720" w:hanging="720"/>
        <w:jc w:val="both"/>
      </w:pPr>
      <w:bookmarkStart w:id="107" w:name="_ENREF_42"/>
      <w:r w:rsidRPr="00BD60B4">
        <w:t>VALLIN, J. 2002. La fin de la transition démographique, soulagement ou inquiétude</w:t>
      </w:r>
      <w:r w:rsidR="001D39F2">
        <w:t> </w:t>
      </w:r>
      <w:r w:rsidRPr="00BD60B4">
        <w:t xml:space="preserve">? </w:t>
      </w:r>
      <w:r w:rsidRPr="00BD60B4">
        <w:rPr>
          <w:i/>
        </w:rPr>
        <w:t>Questions de population au Mali,</w:t>
      </w:r>
      <w:r w:rsidRPr="00BD60B4">
        <w:t xml:space="preserve"> 28</w:t>
      </w:r>
      <w:r w:rsidRPr="00BD60B4">
        <w:rPr>
          <w:b/>
        </w:rPr>
        <w:t>,</w:t>
      </w:r>
      <w:r w:rsidRPr="00BD60B4">
        <w:t xml:space="preserve"> 51.</w:t>
      </w:r>
      <w:bookmarkEnd w:id="107"/>
    </w:p>
    <w:p w:rsidR="008E776A" w:rsidRPr="00BD60B4" w:rsidRDefault="008E776A" w:rsidP="00BD60B4">
      <w:pPr>
        <w:pStyle w:val="EndNoteBibliography"/>
        <w:spacing w:before="60"/>
        <w:ind w:left="720" w:hanging="720"/>
        <w:jc w:val="both"/>
      </w:pPr>
      <w:bookmarkStart w:id="108" w:name="_ENREF_43"/>
      <w:r w:rsidRPr="00BD60B4">
        <w:t>VIMARD, P. 2008. Entre croissance démographiq</w:t>
      </w:r>
      <w:r w:rsidR="001D39F2">
        <w:t>ue et regards socio-économiques </w:t>
      </w:r>
      <w:r w:rsidRPr="00BD60B4">
        <w:t xml:space="preserve">: quelles politiques de développement pour l’Afrique subsaharienne. </w:t>
      </w:r>
      <w:r w:rsidRPr="00BD60B4">
        <w:rPr>
          <w:i/>
        </w:rPr>
        <w:t>La lettre du LPED,</w:t>
      </w:r>
      <w:r w:rsidRPr="00BD60B4">
        <w:t xml:space="preserve"> 1</w:t>
      </w:r>
      <w:r w:rsidRPr="00BD60B4">
        <w:rPr>
          <w:b/>
        </w:rPr>
        <w:t>,</w:t>
      </w:r>
      <w:r w:rsidRPr="00BD60B4">
        <w:t xml:space="preserve"> 1-3.</w:t>
      </w:r>
      <w:bookmarkEnd w:id="108"/>
    </w:p>
    <w:p w:rsidR="008E776A" w:rsidRPr="00BD60B4" w:rsidRDefault="00181502" w:rsidP="00BD60B4">
      <w:pPr>
        <w:pStyle w:val="EndNoteBibliography"/>
        <w:spacing w:before="60"/>
        <w:ind w:left="720" w:hanging="720"/>
        <w:jc w:val="both"/>
        <w:rPr>
          <w:lang w:val="en-CA"/>
        </w:rPr>
      </w:pPr>
      <w:bookmarkStart w:id="109" w:name="_ENREF_44"/>
      <w:r>
        <w:t>VIMARD, P. et</w:t>
      </w:r>
      <w:r w:rsidR="008E776A" w:rsidRPr="00BD60B4">
        <w:t xml:space="preserve"> FASSASSI, R. 2011. Démograp</w:t>
      </w:r>
      <w:r w:rsidR="001D39F2">
        <w:t>hie et développement en Afrique </w:t>
      </w:r>
      <w:r w:rsidR="008E776A" w:rsidRPr="00BD60B4">
        <w:t xml:space="preserve">: éléments rétrospectifs et prospectifs. </w:t>
      </w:r>
      <w:r w:rsidR="008E776A" w:rsidRPr="00BD60B4">
        <w:rPr>
          <w:i/>
          <w:lang w:val="en-CA"/>
        </w:rPr>
        <w:t>Cahiers Québécois de Démographie,</w:t>
      </w:r>
      <w:r w:rsidR="008E776A" w:rsidRPr="00BD60B4">
        <w:rPr>
          <w:lang w:val="en-CA"/>
        </w:rPr>
        <w:t xml:space="preserve"> 40</w:t>
      </w:r>
      <w:r w:rsidR="008E776A" w:rsidRPr="00BD60B4">
        <w:rPr>
          <w:b/>
          <w:lang w:val="en-CA"/>
        </w:rPr>
        <w:t>,</w:t>
      </w:r>
      <w:r w:rsidR="008E776A" w:rsidRPr="00BD60B4">
        <w:rPr>
          <w:lang w:val="en-CA"/>
        </w:rPr>
        <w:t xml:space="preserve"> 331-364.</w:t>
      </w:r>
      <w:bookmarkEnd w:id="109"/>
    </w:p>
    <w:p w:rsidR="008E776A" w:rsidRDefault="008E776A" w:rsidP="001A1209">
      <w:pPr>
        <w:pStyle w:val="EndNoteBibliography"/>
        <w:spacing w:before="60"/>
        <w:ind w:left="720" w:hanging="720"/>
        <w:jc w:val="both"/>
        <w:rPr>
          <w:rFonts w:ascii="Tw Cen MT" w:hAnsi="Tw Cen MT" w:cs="Tw Cen MT"/>
          <w:b/>
          <w:bCs/>
        </w:rPr>
      </w:pPr>
      <w:bookmarkStart w:id="110" w:name="_ENREF_45"/>
      <w:r w:rsidRPr="00BD60B4">
        <w:rPr>
          <w:lang w:val="en-CA"/>
        </w:rPr>
        <w:t xml:space="preserve">WHO 2016. World Health Statistics 2016 for the monitoring health for the sustainable development goals. </w:t>
      </w:r>
      <w:r w:rsidR="00BD60B4">
        <w:t>New York</w:t>
      </w:r>
      <w:bookmarkEnd w:id="110"/>
      <w:r w:rsidR="001A1209">
        <w:t>, 121 p.</w:t>
      </w:r>
      <w:r w:rsidR="001B585D" w:rsidRPr="00BD60B4">
        <w:rPr>
          <w:lang w:val="fr-CA"/>
        </w:rPr>
        <w:fldChar w:fldCharType="end"/>
      </w:r>
      <w:bookmarkStart w:id="111" w:name="_Toc310152250"/>
      <w:bookmarkEnd w:id="65"/>
      <w:r>
        <w:rPr>
          <w:rFonts w:ascii="Tw Cen MT" w:hAnsi="Tw Cen MT" w:cs="Tw Cen MT"/>
          <w:b/>
          <w:bCs/>
        </w:rPr>
        <w:br w:type="page"/>
      </w:r>
    </w:p>
    <w:p w:rsidR="008E776A" w:rsidRPr="003C2DE4" w:rsidRDefault="008E776A" w:rsidP="008E776A">
      <w:pPr>
        <w:sectPr w:rsidR="008E776A" w:rsidRPr="003C2DE4" w:rsidSect="00EE4D74">
          <w:footerReference w:type="default" r:id="rId30"/>
          <w:pgSz w:w="11906" w:h="16838"/>
          <w:pgMar w:top="1418" w:right="1418" w:bottom="1418" w:left="1418" w:header="709" w:footer="709" w:gutter="567"/>
          <w:pgNumType w:start="1"/>
          <w:cols w:space="708"/>
          <w:docGrid w:linePitch="360"/>
        </w:sectPr>
      </w:pPr>
    </w:p>
    <w:p w:rsidR="008E776A" w:rsidRPr="00B1585E" w:rsidRDefault="008E776A" w:rsidP="00B1585E">
      <w:pPr>
        <w:pStyle w:val="Titre1"/>
        <w:rPr>
          <w:rFonts w:ascii="Arial Black" w:hAnsi="Arial Black"/>
          <w:sz w:val="36"/>
          <w:szCs w:val="36"/>
        </w:rPr>
      </w:pPr>
      <w:bookmarkStart w:id="112" w:name="_Toc474777046"/>
      <w:bookmarkStart w:id="113" w:name="_Toc479009932"/>
      <w:r w:rsidRPr="00B1585E">
        <w:rPr>
          <w:rFonts w:ascii="Arial Black" w:hAnsi="Arial Black"/>
          <w:sz w:val="36"/>
          <w:szCs w:val="36"/>
        </w:rPr>
        <w:lastRenderedPageBreak/>
        <w:t>Annexes</w:t>
      </w:r>
      <w:bookmarkEnd w:id="112"/>
      <w:bookmarkEnd w:id="113"/>
    </w:p>
    <w:p w:rsidR="002C1162" w:rsidRDefault="002C1162" w:rsidP="00686A83">
      <w:pPr>
        <w:pStyle w:val="Lgende"/>
        <w:rPr>
          <w:b/>
        </w:rPr>
      </w:pPr>
      <w:r>
        <w:rPr>
          <w:b/>
        </w:rPr>
        <w:t>Tableau A1. Indicateurs utilisés pour la modélisation et hypothèses</w:t>
      </w:r>
    </w:p>
    <w:tbl>
      <w:tblPr>
        <w:tblW w:w="14140" w:type="dxa"/>
        <w:tblInd w:w="2" w:type="dxa"/>
        <w:tblCellMar>
          <w:left w:w="70" w:type="dxa"/>
          <w:right w:w="70" w:type="dxa"/>
        </w:tblCellMar>
        <w:tblLook w:val="00A0"/>
      </w:tblPr>
      <w:tblGrid>
        <w:gridCol w:w="460"/>
        <w:gridCol w:w="6506"/>
        <w:gridCol w:w="1403"/>
        <w:gridCol w:w="2189"/>
        <w:gridCol w:w="1791"/>
        <w:gridCol w:w="1791"/>
      </w:tblGrid>
      <w:tr w:rsidR="00686A83" w:rsidRPr="008A3528" w:rsidTr="006924E0">
        <w:trPr>
          <w:trHeight w:val="300"/>
        </w:trPr>
        <w:tc>
          <w:tcPr>
            <w:tcW w:w="460" w:type="dxa"/>
            <w:vMerge w:val="restart"/>
            <w:tcBorders>
              <w:top w:val="single" w:sz="8" w:space="0" w:color="auto"/>
              <w:left w:val="single" w:sz="8" w:space="0" w:color="auto"/>
              <w:right w:val="single" w:sz="4" w:space="0" w:color="auto"/>
            </w:tcBorders>
            <w:noWrap/>
            <w:vAlign w:val="center"/>
          </w:tcPr>
          <w:p w:rsidR="00686A83" w:rsidRPr="008A3528" w:rsidRDefault="00686A83" w:rsidP="006924E0">
            <w:pPr>
              <w:jc w:val="center"/>
              <w:rPr>
                <w:rFonts w:ascii="Tw Cen MT" w:hAnsi="Tw Cen MT" w:cs="Tw Cen MT"/>
                <w:b/>
                <w:bCs/>
                <w:color w:val="000000"/>
                <w:lang w:val="fr-CA" w:eastAsia="fr-CA"/>
              </w:rPr>
            </w:pPr>
            <w:r w:rsidRPr="008A3528">
              <w:rPr>
                <w:rFonts w:ascii="Tw Cen MT" w:hAnsi="Tw Cen MT" w:cs="Tw Cen MT"/>
                <w:b/>
                <w:bCs/>
                <w:color w:val="000000"/>
                <w:sz w:val="22"/>
                <w:szCs w:val="22"/>
                <w:lang w:val="fr-CA" w:eastAsia="fr-CA"/>
              </w:rPr>
              <w:t>N°</w:t>
            </w:r>
          </w:p>
        </w:tc>
        <w:tc>
          <w:tcPr>
            <w:tcW w:w="6506" w:type="dxa"/>
            <w:vMerge w:val="restart"/>
            <w:tcBorders>
              <w:top w:val="single" w:sz="8" w:space="0" w:color="auto"/>
              <w:left w:val="nil"/>
              <w:right w:val="single" w:sz="4" w:space="0" w:color="auto"/>
            </w:tcBorders>
            <w:noWrap/>
            <w:vAlign w:val="center"/>
          </w:tcPr>
          <w:p w:rsidR="00686A83" w:rsidRPr="002C1162" w:rsidRDefault="00686A83" w:rsidP="002C1162">
            <w:pPr>
              <w:pStyle w:val="Lgende"/>
              <w:rPr>
                <w:b/>
              </w:rPr>
            </w:pPr>
            <w:r w:rsidRPr="002C1162">
              <w:rPr>
                <w:b/>
              </w:rPr>
              <w:t>Indicateurs</w:t>
            </w:r>
          </w:p>
        </w:tc>
        <w:tc>
          <w:tcPr>
            <w:tcW w:w="1403" w:type="dxa"/>
            <w:vMerge w:val="restart"/>
            <w:tcBorders>
              <w:top w:val="single" w:sz="8" w:space="0" w:color="auto"/>
              <w:left w:val="nil"/>
              <w:right w:val="single" w:sz="4" w:space="0" w:color="auto"/>
            </w:tcBorders>
            <w:noWrap/>
            <w:vAlign w:val="center"/>
          </w:tcPr>
          <w:p w:rsidR="00686A83" w:rsidRPr="008A3528" w:rsidRDefault="00686A83" w:rsidP="006924E0">
            <w:pPr>
              <w:jc w:val="center"/>
              <w:rPr>
                <w:rFonts w:ascii="Tw Cen MT" w:hAnsi="Tw Cen MT" w:cs="Tw Cen MT"/>
                <w:b/>
                <w:bCs/>
                <w:color w:val="000000"/>
                <w:lang w:val="fr-CA" w:eastAsia="fr-CA"/>
              </w:rPr>
            </w:pPr>
            <w:r w:rsidRPr="008A3528">
              <w:rPr>
                <w:rFonts w:ascii="Tw Cen MT" w:hAnsi="Tw Cen MT" w:cs="Tw Cen MT"/>
                <w:b/>
                <w:bCs/>
                <w:color w:val="000000"/>
                <w:sz w:val="22"/>
                <w:szCs w:val="22"/>
                <w:lang w:val="fr-CA" w:eastAsia="fr-CA"/>
              </w:rPr>
              <w:t>Valeurs</w:t>
            </w:r>
          </w:p>
        </w:tc>
        <w:tc>
          <w:tcPr>
            <w:tcW w:w="2189" w:type="dxa"/>
            <w:vMerge w:val="restart"/>
            <w:tcBorders>
              <w:top w:val="single" w:sz="8" w:space="0" w:color="auto"/>
              <w:left w:val="nil"/>
              <w:right w:val="single" w:sz="8" w:space="0" w:color="auto"/>
            </w:tcBorders>
            <w:noWrap/>
            <w:vAlign w:val="center"/>
          </w:tcPr>
          <w:p w:rsidR="00686A83" w:rsidRPr="008A3528" w:rsidRDefault="00686A83" w:rsidP="006924E0">
            <w:pPr>
              <w:jc w:val="center"/>
              <w:rPr>
                <w:rFonts w:ascii="Tw Cen MT" w:hAnsi="Tw Cen MT" w:cs="Tw Cen MT"/>
                <w:b/>
                <w:bCs/>
                <w:color w:val="000000"/>
                <w:lang w:val="fr-CA" w:eastAsia="fr-CA"/>
              </w:rPr>
            </w:pPr>
            <w:r w:rsidRPr="008A3528">
              <w:rPr>
                <w:rFonts w:ascii="Tw Cen MT" w:hAnsi="Tw Cen MT" w:cs="Tw Cen MT"/>
                <w:b/>
                <w:bCs/>
                <w:color w:val="000000"/>
                <w:sz w:val="22"/>
                <w:szCs w:val="22"/>
                <w:lang w:val="fr-CA" w:eastAsia="fr-CA"/>
              </w:rPr>
              <w:t>Source</w:t>
            </w:r>
            <w:r>
              <w:rPr>
                <w:rFonts w:ascii="Tw Cen MT" w:hAnsi="Tw Cen MT" w:cs="Tw Cen MT"/>
                <w:b/>
                <w:bCs/>
                <w:color w:val="000000"/>
                <w:sz w:val="22"/>
                <w:szCs w:val="22"/>
                <w:lang w:val="fr-CA" w:eastAsia="fr-CA"/>
              </w:rPr>
              <w:t>s (année)</w:t>
            </w:r>
          </w:p>
        </w:tc>
        <w:tc>
          <w:tcPr>
            <w:tcW w:w="3582" w:type="dxa"/>
            <w:gridSpan w:val="2"/>
            <w:tcBorders>
              <w:top w:val="single" w:sz="8" w:space="0" w:color="auto"/>
              <w:left w:val="nil"/>
              <w:bottom w:val="single" w:sz="4" w:space="0" w:color="auto"/>
              <w:right w:val="single" w:sz="8" w:space="0" w:color="auto"/>
            </w:tcBorders>
            <w:vAlign w:val="center"/>
          </w:tcPr>
          <w:p w:rsidR="00686A83" w:rsidRPr="008A3528" w:rsidRDefault="00686A83" w:rsidP="006924E0">
            <w:pPr>
              <w:jc w:val="center"/>
              <w:rPr>
                <w:rFonts w:ascii="Tw Cen MT" w:hAnsi="Tw Cen MT" w:cs="Tw Cen MT"/>
                <w:b/>
                <w:bCs/>
                <w:color w:val="000000"/>
                <w:lang w:val="fr-CA" w:eastAsia="fr-CA"/>
              </w:rPr>
            </w:pPr>
            <w:r>
              <w:rPr>
                <w:rFonts w:ascii="Tw Cen MT" w:hAnsi="Tw Cen MT" w:cs="Tw Cen MT"/>
                <w:b/>
                <w:bCs/>
                <w:color w:val="000000"/>
                <w:sz w:val="22"/>
                <w:szCs w:val="22"/>
                <w:lang w:val="fr-CA" w:eastAsia="fr-CA"/>
              </w:rPr>
              <w:t>Hypothèses</w:t>
            </w:r>
            <w:r w:rsidR="006924E0">
              <w:rPr>
                <w:rFonts w:ascii="Tw Cen MT" w:hAnsi="Tw Cen MT" w:cs="Tw Cen MT"/>
                <w:b/>
                <w:bCs/>
                <w:color w:val="000000"/>
                <w:sz w:val="22"/>
                <w:szCs w:val="22"/>
                <w:lang w:val="fr-CA" w:eastAsia="fr-CA"/>
              </w:rPr>
              <w:t xml:space="preserve"> de projections</w:t>
            </w:r>
          </w:p>
        </w:tc>
      </w:tr>
      <w:tr w:rsidR="00686A83" w:rsidRPr="008A3528" w:rsidTr="006924E0">
        <w:trPr>
          <w:trHeight w:val="300"/>
        </w:trPr>
        <w:tc>
          <w:tcPr>
            <w:tcW w:w="460" w:type="dxa"/>
            <w:vMerge/>
            <w:tcBorders>
              <w:left w:val="single" w:sz="8" w:space="0" w:color="auto"/>
              <w:bottom w:val="single" w:sz="4" w:space="0" w:color="auto"/>
              <w:right w:val="single" w:sz="4" w:space="0" w:color="auto"/>
            </w:tcBorders>
            <w:noWrap/>
            <w:vAlign w:val="center"/>
          </w:tcPr>
          <w:p w:rsidR="00686A83" w:rsidRPr="008A3528" w:rsidRDefault="00686A83" w:rsidP="006924E0">
            <w:pPr>
              <w:rPr>
                <w:rFonts w:ascii="Tw Cen MT" w:hAnsi="Tw Cen MT" w:cs="Tw Cen MT"/>
                <w:b/>
                <w:bCs/>
                <w:color w:val="000000"/>
                <w:lang w:val="fr-CA" w:eastAsia="fr-CA"/>
              </w:rPr>
            </w:pPr>
          </w:p>
        </w:tc>
        <w:tc>
          <w:tcPr>
            <w:tcW w:w="6506" w:type="dxa"/>
            <w:vMerge/>
            <w:tcBorders>
              <w:left w:val="nil"/>
              <w:bottom w:val="single" w:sz="4" w:space="0" w:color="auto"/>
              <w:right w:val="single" w:sz="4" w:space="0" w:color="auto"/>
            </w:tcBorders>
            <w:noWrap/>
            <w:vAlign w:val="center"/>
          </w:tcPr>
          <w:p w:rsidR="00686A83" w:rsidRPr="008A3528" w:rsidRDefault="00686A83" w:rsidP="006924E0">
            <w:pPr>
              <w:rPr>
                <w:rFonts w:ascii="Tw Cen MT" w:hAnsi="Tw Cen MT" w:cs="Tw Cen MT"/>
                <w:b/>
                <w:bCs/>
                <w:color w:val="000000"/>
                <w:lang w:val="fr-CA" w:eastAsia="fr-CA"/>
              </w:rPr>
            </w:pPr>
          </w:p>
        </w:tc>
        <w:tc>
          <w:tcPr>
            <w:tcW w:w="1403" w:type="dxa"/>
            <w:vMerge/>
            <w:tcBorders>
              <w:left w:val="nil"/>
              <w:bottom w:val="single" w:sz="4" w:space="0" w:color="auto"/>
              <w:right w:val="single" w:sz="4" w:space="0" w:color="auto"/>
            </w:tcBorders>
            <w:noWrap/>
            <w:vAlign w:val="center"/>
          </w:tcPr>
          <w:p w:rsidR="00686A83" w:rsidRPr="008A3528" w:rsidRDefault="00686A83" w:rsidP="006924E0">
            <w:pPr>
              <w:rPr>
                <w:rFonts w:ascii="Tw Cen MT" w:hAnsi="Tw Cen MT" w:cs="Tw Cen MT"/>
                <w:b/>
                <w:bCs/>
                <w:color w:val="000000"/>
                <w:lang w:val="fr-CA" w:eastAsia="fr-CA"/>
              </w:rPr>
            </w:pPr>
          </w:p>
        </w:tc>
        <w:tc>
          <w:tcPr>
            <w:tcW w:w="2189" w:type="dxa"/>
            <w:vMerge/>
            <w:tcBorders>
              <w:left w:val="nil"/>
              <w:bottom w:val="single" w:sz="4" w:space="0" w:color="auto"/>
              <w:right w:val="single" w:sz="8" w:space="0" w:color="auto"/>
            </w:tcBorders>
            <w:noWrap/>
            <w:vAlign w:val="center"/>
          </w:tcPr>
          <w:p w:rsidR="00686A83" w:rsidRPr="008A3528" w:rsidRDefault="00686A83" w:rsidP="006924E0">
            <w:pPr>
              <w:rPr>
                <w:rFonts w:ascii="Tw Cen MT" w:hAnsi="Tw Cen MT" w:cs="Tw Cen MT"/>
                <w:b/>
                <w:bCs/>
                <w:color w:val="000000"/>
                <w:lang w:val="fr-CA" w:eastAsia="fr-CA"/>
              </w:rPr>
            </w:pPr>
          </w:p>
        </w:tc>
        <w:tc>
          <w:tcPr>
            <w:tcW w:w="1791" w:type="dxa"/>
            <w:tcBorders>
              <w:top w:val="single" w:sz="8" w:space="0" w:color="auto"/>
              <w:left w:val="nil"/>
              <w:bottom w:val="single" w:sz="4" w:space="0" w:color="auto"/>
              <w:right w:val="single" w:sz="8" w:space="0" w:color="auto"/>
            </w:tcBorders>
            <w:vAlign w:val="center"/>
          </w:tcPr>
          <w:p w:rsidR="00686A83" w:rsidRPr="008A3528" w:rsidRDefault="00686A83" w:rsidP="006924E0">
            <w:pPr>
              <w:jc w:val="center"/>
              <w:rPr>
                <w:rFonts w:ascii="Tw Cen MT" w:hAnsi="Tw Cen MT" w:cs="Tw Cen MT"/>
                <w:b/>
                <w:bCs/>
                <w:color w:val="000000"/>
                <w:lang w:val="fr-CA" w:eastAsia="fr-CA"/>
              </w:rPr>
            </w:pPr>
            <w:r>
              <w:rPr>
                <w:rFonts w:ascii="Tw Cen MT" w:hAnsi="Tw Cen MT" w:cs="Tw Cen MT"/>
                <w:b/>
                <w:bCs/>
                <w:color w:val="000000"/>
                <w:sz w:val="22"/>
                <w:szCs w:val="22"/>
                <w:lang w:val="fr-CA" w:eastAsia="fr-CA"/>
              </w:rPr>
              <w:t>Année de début: 2010</w:t>
            </w:r>
          </w:p>
        </w:tc>
        <w:tc>
          <w:tcPr>
            <w:tcW w:w="1791" w:type="dxa"/>
            <w:tcBorders>
              <w:top w:val="single" w:sz="8" w:space="0" w:color="auto"/>
              <w:left w:val="nil"/>
              <w:bottom w:val="single" w:sz="4" w:space="0" w:color="auto"/>
              <w:right w:val="single" w:sz="8" w:space="0" w:color="auto"/>
            </w:tcBorders>
            <w:vAlign w:val="center"/>
          </w:tcPr>
          <w:p w:rsidR="00686A83" w:rsidRPr="008A3528" w:rsidRDefault="00686A83" w:rsidP="006924E0">
            <w:pPr>
              <w:jc w:val="center"/>
              <w:rPr>
                <w:rFonts w:ascii="Tw Cen MT" w:hAnsi="Tw Cen MT" w:cs="Tw Cen MT"/>
                <w:b/>
                <w:bCs/>
                <w:color w:val="000000"/>
                <w:lang w:val="fr-CA" w:eastAsia="fr-CA"/>
              </w:rPr>
            </w:pPr>
            <w:r>
              <w:rPr>
                <w:rFonts w:ascii="Tw Cen MT" w:hAnsi="Tw Cen MT" w:cs="Tw Cen MT"/>
                <w:b/>
                <w:bCs/>
                <w:color w:val="000000"/>
                <w:sz w:val="22"/>
                <w:szCs w:val="22"/>
                <w:lang w:val="fr-CA" w:eastAsia="fr-CA"/>
              </w:rPr>
              <w:t>Année de fin de projections : 2050</w:t>
            </w:r>
          </w:p>
        </w:tc>
      </w:tr>
      <w:tr w:rsidR="00ED5FA2" w:rsidRPr="008A3528" w:rsidTr="006924E0">
        <w:trPr>
          <w:trHeight w:val="300"/>
        </w:trPr>
        <w:tc>
          <w:tcPr>
            <w:tcW w:w="14140" w:type="dxa"/>
            <w:gridSpan w:val="6"/>
            <w:tcBorders>
              <w:top w:val="nil"/>
              <w:left w:val="single" w:sz="8" w:space="0" w:color="auto"/>
              <w:bottom w:val="single" w:sz="4" w:space="0" w:color="auto"/>
              <w:right w:val="single" w:sz="8" w:space="0" w:color="auto"/>
            </w:tcBorders>
            <w:noWrap/>
            <w:vAlign w:val="center"/>
          </w:tcPr>
          <w:p w:rsidR="00ED5FA2" w:rsidRPr="008A3528" w:rsidRDefault="00ED5FA2" w:rsidP="00ED5FA2">
            <w:pPr>
              <w:rPr>
                <w:rFonts w:ascii="Tw Cen MT" w:hAnsi="Tw Cen MT" w:cs="Tw Cen MT"/>
                <w:color w:val="000000"/>
                <w:lang w:val="fr-CA" w:eastAsia="fr-CA"/>
              </w:rPr>
            </w:pPr>
            <w:r w:rsidRPr="009A74C5">
              <w:rPr>
                <w:rFonts w:ascii="Tw Cen MT" w:hAnsi="Tw Cen MT" w:cs="Tw Cen MT"/>
                <w:b/>
                <w:color w:val="000000"/>
                <w:sz w:val="22"/>
                <w:szCs w:val="22"/>
                <w:lang w:val="fr-CA" w:eastAsia="fr-CA"/>
              </w:rPr>
              <w:t>Éducation</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w:t>
            </w:r>
          </w:p>
        </w:tc>
        <w:tc>
          <w:tcPr>
            <w:tcW w:w="6506" w:type="dxa"/>
            <w:tcBorders>
              <w:top w:val="nil"/>
              <w:left w:val="nil"/>
              <w:bottom w:val="single" w:sz="4" w:space="0" w:color="auto"/>
              <w:right w:val="single" w:sz="4" w:space="0" w:color="auto"/>
            </w:tcBorders>
            <w:noWrap/>
          </w:tcPr>
          <w:p w:rsidR="00686A83" w:rsidRPr="009A74C5" w:rsidRDefault="00686A83" w:rsidP="00C0257C">
            <w:pPr>
              <w:pStyle w:val="Paragraphedeliste"/>
              <w:spacing w:line="276" w:lineRule="auto"/>
              <w:ind w:left="0"/>
              <w:jc w:val="both"/>
              <w:rPr>
                <w:rFonts w:ascii="Tw Cen MT" w:hAnsi="Tw Cen MT" w:cs="Tw Cen MT"/>
                <w:color w:val="000000"/>
                <w:lang w:val="fr-CA" w:eastAsia="fr-CA"/>
              </w:rPr>
            </w:pPr>
            <w:r w:rsidRPr="009A74C5">
              <w:rPr>
                <w:rFonts w:ascii="Tw Cen MT" w:hAnsi="Tw Cen MT" w:cs="Tw Cen MT"/>
                <w:color w:val="000000"/>
                <w:sz w:val="22"/>
                <w:szCs w:val="22"/>
                <w:lang w:val="fr-CA" w:eastAsia="fr-CA"/>
              </w:rPr>
              <w:t>Nombre d’années scolaires attendu pour les filles</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9,5</w:t>
            </w:r>
          </w:p>
        </w:tc>
        <w:tc>
          <w:tcPr>
            <w:tcW w:w="2189" w:type="dxa"/>
            <w:tcBorders>
              <w:top w:val="nil"/>
              <w:left w:val="nil"/>
              <w:bottom w:val="single" w:sz="4" w:space="0" w:color="auto"/>
              <w:right w:val="single" w:sz="8" w:space="0" w:color="auto"/>
            </w:tcBorders>
            <w:noWrap/>
            <w:vAlign w:val="bottom"/>
          </w:tcPr>
          <w:p w:rsidR="00686A83" w:rsidRPr="00AA7FEC" w:rsidRDefault="00686A83"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UNESCO/UN</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9,5 ans</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13 ans</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w:t>
            </w:r>
          </w:p>
        </w:tc>
        <w:tc>
          <w:tcPr>
            <w:tcW w:w="6506" w:type="dxa"/>
            <w:tcBorders>
              <w:top w:val="nil"/>
              <w:left w:val="nil"/>
              <w:bottom w:val="single" w:sz="4" w:space="0" w:color="auto"/>
              <w:right w:val="single" w:sz="4" w:space="0" w:color="auto"/>
            </w:tcBorders>
            <w:noWrap/>
          </w:tcPr>
          <w:p w:rsidR="00686A83" w:rsidRPr="009A74C5" w:rsidRDefault="00686A83" w:rsidP="00C0257C">
            <w:pPr>
              <w:pStyle w:val="Paragraphedeliste"/>
              <w:spacing w:line="276" w:lineRule="auto"/>
              <w:ind w:left="0"/>
              <w:jc w:val="both"/>
              <w:rPr>
                <w:rFonts w:ascii="Tw Cen MT" w:hAnsi="Tw Cen MT" w:cs="Tw Cen MT"/>
                <w:color w:val="000000"/>
                <w:lang w:val="fr-CA" w:eastAsia="fr-CA"/>
              </w:rPr>
            </w:pPr>
            <w:r w:rsidRPr="009A74C5">
              <w:rPr>
                <w:rFonts w:ascii="Tw Cen MT" w:hAnsi="Tw Cen MT" w:cs="Tw Cen MT"/>
                <w:color w:val="000000"/>
                <w:sz w:val="22"/>
                <w:szCs w:val="22"/>
                <w:lang w:val="fr-CA" w:eastAsia="fr-CA"/>
              </w:rPr>
              <w:t>Nombre d’années scolaires attendu pour les garçons</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11,4</w:t>
            </w:r>
          </w:p>
        </w:tc>
        <w:tc>
          <w:tcPr>
            <w:tcW w:w="2189" w:type="dxa"/>
            <w:tcBorders>
              <w:top w:val="nil"/>
              <w:left w:val="nil"/>
              <w:bottom w:val="single" w:sz="4" w:space="0" w:color="auto"/>
              <w:right w:val="single" w:sz="8" w:space="0" w:color="auto"/>
            </w:tcBorders>
            <w:noWrap/>
            <w:vAlign w:val="bottom"/>
          </w:tcPr>
          <w:p w:rsidR="00686A83" w:rsidRPr="00AA7FEC" w:rsidRDefault="00686A83"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UNESCO/UN</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11,40 ans</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16 ans</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w:t>
            </w:r>
          </w:p>
        </w:tc>
        <w:tc>
          <w:tcPr>
            <w:tcW w:w="6506" w:type="dxa"/>
            <w:tcBorders>
              <w:top w:val="nil"/>
              <w:left w:val="nil"/>
              <w:bottom w:val="single" w:sz="4" w:space="0" w:color="auto"/>
              <w:right w:val="single" w:sz="4" w:space="0" w:color="auto"/>
            </w:tcBorders>
            <w:noWrap/>
            <w:vAlign w:val="bottom"/>
          </w:tcPr>
          <w:p w:rsidR="00686A83" w:rsidRPr="00AA7FEC" w:rsidRDefault="00686A83"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Nombre moyen d'années de scolarisation Filles</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5,27</w:t>
            </w:r>
          </w:p>
        </w:tc>
        <w:tc>
          <w:tcPr>
            <w:tcW w:w="2189" w:type="dxa"/>
            <w:tcBorders>
              <w:top w:val="nil"/>
              <w:left w:val="nil"/>
              <w:bottom w:val="single" w:sz="4" w:space="0" w:color="auto"/>
              <w:right w:val="single" w:sz="8" w:space="0" w:color="auto"/>
            </w:tcBorders>
            <w:noWrap/>
            <w:vAlign w:val="bottom"/>
          </w:tcPr>
          <w:p w:rsidR="00686A83" w:rsidRPr="00AA7FEC" w:rsidRDefault="00686A83"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UNESCO/UN</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5,27 ans</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10 ans</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4</w:t>
            </w:r>
          </w:p>
        </w:tc>
        <w:tc>
          <w:tcPr>
            <w:tcW w:w="6506" w:type="dxa"/>
            <w:tcBorders>
              <w:top w:val="nil"/>
              <w:left w:val="nil"/>
              <w:bottom w:val="single" w:sz="4" w:space="0" w:color="auto"/>
              <w:right w:val="single" w:sz="4" w:space="0" w:color="auto"/>
            </w:tcBorders>
            <w:noWrap/>
            <w:vAlign w:val="bottom"/>
          </w:tcPr>
          <w:p w:rsidR="00686A83" w:rsidRPr="00AA7FEC" w:rsidRDefault="00686A83"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Nombre moyen d'années de scolarisation Garçon</w:t>
            </w:r>
            <w:r>
              <w:rPr>
                <w:rFonts w:ascii="Tw Cen MT" w:hAnsi="Tw Cen MT" w:cs="Tw Cen MT"/>
                <w:color w:val="000000"/>
                <w:sz w:val="22"/>
                <w:szCs w:val="22"/>
                <w:lang w:val="fr-CA" w:eastAsia="fr-CA"/>
              </w:rPr>
              <w:t>s</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6,68</w:t>
            </w:r>
          </w:p>
        </w:tc>
        <w:tc>
          <w:tcPr>
            <w:tcW w:w="2189" w:type="dxa"/>
            <w:tcBorders>
              <w:top w:val="nil"/>
              <w:left w:val="nil"/>
              <w:bottom w:val="single" w:sz="4" w:space="0" w:color="auto"/>
              <w:right w:val="single" w:sz="8" w:space="0" w:color="auto"/>
            </w:tcBorders>
            <w:noWrap/>
            <w:vAlign w:val="bottom"/>
          </w:tcPr>
          <w:p w:rsidR="00686A83" w:rsidRPr="00AA7FEC" w:rsidRDefault="00686A83"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UNESCO/UN</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6,68 ans</w:t>
            </w:r>
          </w:p>
        </w:tc>
        <w:tc>
          <w:tcPr>
            <w:tcW w:w="1791" w:type="dxa"/>
            <w:tcBorders>
              <w:top w:val="nil"/>
              <w:left w:val="nil"/>
              <w:bottom w:val="single" w:sz="4" w:space="0" w:color="auto"/>
              <w:right w:val="single" w:sz="8" w:space="0" w:color="auto"/>
            </w:tcBorders>
            <w:vAlign w:val="center"/>
          </w:tcPr>
          <w:p w:rsidR="00686A83" w:rsidRPr="009A74C5" w:rsidRDefault="00686A83" w:rsidP="00ED5FA2">
            <w:pPr>
              <w:pStyle w:val="Paragraphedeliste"/>
              <w:spacing w:line="276" w:lineRule="auto"/>
              <w:ind w:left="0"/>
              <w:jc w:val="right"/>
              <w:rPr>
                <w:rFonts w:ascii="Tw Cen MT" w:hAnsi="Tw Cen MT" w:cs="Tw Cen MT"/>
                <w:color w:val="000000"/>
                <w:lang w:val="fr-CA" w:eastAsia="fr-CA"/>
              </w:rPr>
            </w:pPr>
            <w:r w:rsidRPr="009A74C5">
              <w:rPr>
                <w:rFonts w:ascii="Tw Cen MT" w:hAnsi="Tw Cen MT" w:cs="Tw Cen MT"/>
                <w:color w:val="000000"/>
                <w:sz w:val="22"/>
                <w:szCs w:val="22"/>
                <w:lang w:val="fr-CA" w:eastAsia="fr-CA"/>
              </w:rPr>
              <w:t>12 ans</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5</w:t>
            </w:r>
          </w:p>
        </w:tc>
        <w:tc>
          <w:tcPr>
            <w:tcW w:w="6506"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Nombre moyen d'années de scolarisation (garçons, filles)</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5,9</w:t>
            </w:r>
          </w:p>
        </w:tc>
        <w:tc>
          <w:tcPr>
            <w:tcW w:w="2189" w:type="dxa"/>
            <w:tcBorders>
              <w:top w:val="nil"/>
              <w:left w:val="nil"/>
              <w:bottom w:val="single" w:sz="4" w:space="0" w:color="auto"/>
              <w:right w:val="single" w:sz="8"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UNESCO/UN/INS</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686A83" w:rsidRPr="008A3528"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5,9 ans</w:t>
            </w:r>
          </w:p>
        </w:tc>
        <w:tc>
          <w:tcPr>
            <w:tcW w:w="1791" w:type="dxa"/>
            <w:tcBorders>
              <w:top w:val="nil"/>
              <w:left w:val="nil"/>
              <w:bottom w:val="single" w:sz="4" w:space="0" w:color="auto"/>
              <w:right w:val="single" w:sz="8" w:space="0" w:color="auto"/>
            </w:tcBorders>
            <w:vAlign w:val="center"/>
          </w:tcPr>
          <w:p w:rsidR="00686A83" w:rsidRPr="008A3528"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11 ans</w:t>
            </w:r>
          </w:p>
        </w:tc>
      </w:tr>
      <w:tr w:rsidR="00ED5FA2" w:rsidRPr="008A3528" w:rsidTr="00ED5FA2">
        <w:trPr>
          <w:trHeight w:val="300"/>
        </w:trPr>
        <w:tc>
          <w:tcPr>
            <w:tcW w:w="14140" w:type="dxa"/>
            <w:gridSpan w:val="6"/>
            <w:tcBorders>
              <w:top w:val="nil"/>
              <w:left w:val="single" w:sz="8" w:space="0" w:color="auto"/>
              <w:bottom w:val="single" w:sz="4" w:space="0" w:color="auto"/>
              <w:right w:val="single" w:sz="8" w:space="0" w:color="auto"/>
            </w:tcBorders>
            <w:noWrap/>
            <w:vAlign w:val="center"/>
          </w:tcPr>
          <w:p w:rsidR="00ED5FA2" w:rsidRPr="008A3528" w:rsidRDefault="00ED5FA2" w:rsidP="00ED5FA2">
            <w:pPr>
              <w:pStyle w:val="Paragraphedeliste"/>
              <w:spacing w:line="276" w:lineRule="auto"/>
              <w:ind w:left="0"/>
              <w:rPr>
                <w:rFonts w:ascii="Tw Cen MT" w:hAnsi="Tw Cen MT" w:cs="Tw Cen MT"/>
                <w:color w:val="000000"/>
                <w:lang w:val="fr-CA" w:eastAsia="fr-CA"/>
              </w:rPr>
            </w:pPr>
            <w:r w:rsidRPr="008C5D51">
              <w:rPr>
                <w:rFonts w:ascii="Tw Cen MT" w:hAnsi="Tw Cen MT" w:cs="Tw Cen MT"/>
                <w:b/>
                <w:color w:val="000000"/>
                <w:sz w:val="22"/>
                <w:szCs w:val="22"/>
                <w:lang w:val="fr-CA" w:eastAsia="fr-CA"/>
              </w:rPr>
              <w:t>Santé</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7</w:t>
            </w:r>
          </w:p>
        </w:tc>
        <w:tc>
          <w:tcPr>
            <w:tcW w:w="6506"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prévalence contraceptive (moderne)</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w:t>
            </w:r>
            <w:r>
              <w:rPr>
                <w:rFonts w:ascii="Tw Cen MT" w:hAnsi="Tw Cen MT" w:cs="Tw Cen MT"/>
                <w:color w:val="000000"/>
                <w:sz w:val="22"/>
                <w:szCs w:val="22"/>
                <w:lang w:val="fr-CA" w:eastAsia="fr-CA"/>
              </w:rPr>
              <w:t>6</w:t>
            </w:r>
          </w:p>
        </w:tc>
        <w:tc>
          <w:tcPr>
            <w:tcW w:w="2189" w:type="dxa"/>
            <w:tcBorders>
              <w:top w:val="nil"/>
              <w:left w:val="nil"/>
              <w:bottom w:val="single" w:sz="4" w:space="0" w:color="auto"/>
              <w:right w:val="single" w:sz="8"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 et ICF International</w:t>
            </w:r>
            <w:r>
              <w:rPr>
                <w:rFonts w:ascii="Tw Cen MT" w:hAnsi="Tw Cen MT" w:cs="Tw Cen MT"/>
                <w:color w:val="000000"/>
                <w:sz w:val="22"/>
                <w:szCs w:val="22"/>
                <w:lang w:val="fr-CA" w:eastAsia="fr-CA"/>
              </w:rPr>
              <w:t xml:space="preserve"> (EDS 2011)</w:t>
            </w:r>
          </w:p>
        </w:tc>
        <w:tc>
          <w:tcPr>
            <w:tcW w:w="1791" w:type="dxa"/>
            <w:tcBorders>
              <w:top w:val="nil"/>
              <w:left w:val="nil"/>
              <w:bottom w:val="single" w:sz="4" w:space="0" w:color="auto"/>
              <w:right w:val="single" w:sz="8" w:space="0" w:color="auto"/>
            </w:tcBorders>
            <w:vAlign w:val="center"/>
          </w:tcPr>
          <w:p w:rsidR="00686A83" w:rsidRPr="008A3528"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16%</w:t>
            </w:r>
          </w:p>
        </w:tc>
        <w:tc>
          <w:tcPr>
            <w:tcW w:w="1791" w:type="dxa"/>
            <w:tcBorders>
              <w:top w:val="nil"/>
              <w:left w:val="nil"/>
              <w:bottom w:val="single" w:sz="4" w:space="0" w:color="auto"/>
              <w:right w:val="single" w:sz="8" w:space="0" w:color="auto"/>
            </w:tcBorders>
            <w:vAlign w:val="center"/>
          </w:tcPr>
          <w:p w:rsidR="00686A83" w:rsidRPr="008A3528"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45,67%</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8</w:t>
            </w:r>
          </w:p>
        </w:tc>
        <w:tc>
          <w:tcPr>
            <w:tcW w:w="6506"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prévalence contraceptive (traditionnelle)</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8</w:t>
            </w:r>
          </w:p>
        </w:tc>
        <w:tc>
          <w:tcPr>
            <w:tcW w:w="2189" w:type="dxa"/>
            <w:tcBorders>
              <w:top w:val="nil"/>
              <w:left w:val="nil"/>
              <w:bottom w:val="single" w:sz="4" w:space="0" w:color="auto"/>
              <w:right w:val="single" w:sz="8"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 et ICF International</w:t>
            </w:r>
            <w:r>
              <w:rPr>
                <w:rFonts w:ascii="Tw Cen MT" w:hAnsi="Tw Cen MT" w:cs="Tw Cen MT"/>
                <w:color w:val="000000"/>
                <w:sz w:val="22"/>
                <w:szCs w:val="22"/>
                <w:lang w:val="fr-CA" w:eastAsia="fr-CA"/>
              </w:rPr>
              <w:t xml:space="preserve"> (EDS 2011)</w:t>
            </w:r>
          </w:p>
        </w:tc>
        <w:tc>
          <w:tcPr>
            <w:tcW w:w="1791" w:type="dxa"/>
            <w:tcBorders>
              <w:top w:val="nil"/>
              <w:left w:val="nil"/>
              <w:bottom w:val="single" w:sz="4" w:space="0" w:color="auto"/>
              <w:right w:val="single" w:sz="8" w:space="0" w:color="auto"/>
            </w:tcBorders>
            <w:vAlign w:val="center"/>
          </w:tcPr>
          <w:p w:rsidR="00686A83" w:rsidRPr="008A3528"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8%</w:t>
            </w:r>
          </w:p>
        </w:tc>
        <w:tc>
          <w:tcPr>
            <w:tcW w:w="1791" w:type="dxa"/>
            <w:tcBorders>
              <w:top w:val="nil"/>
              <w:left w:val="nil"/>
              <w:bottom w:val="single" w:sz="4" w:space="0" w:color="auto"/>
              <w:right w:val="single" w:sz="8" w:space="0" w:color="auto"/>
            </w:tcBorders>
            <w:vAlign w:val="center"/>
          </w:tcPr>
          <w:p w:rsidR="00686A83" w:rsidRPr="008A3528" w:rsidRDefault="00686A83"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4%</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9</w:t>
            </w:r>
          </w:p>
        </w:tc>
        <w:tc>
          <w:tcPr>
            <w:tcW w:w="6506"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Insusceptibilité post-partum</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12,2</w:t>
            </w:r>
          </w:p>
        </w:tc>
        <w:tc>
          <w:tcPr>
            <w:tcW w:w="2189" w:type="dxa"/>
            <w:tcBorders>
              <w:top w:val="nil"/>
              <w:left w:val="nil"/>
              <w:bottom w:val="single" w:sz="4" w:space="0" w:color="auto"/>
              <w:right w:val="single" w:sz="8"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 et ICF International</w:t>
            </w:r>
            <w:r>
              <w:rPr>
                <w:rFonts w:ascii="Tw Cen MT" w:hAnsi="Tw Cen MT" w:cs="Tw Cen MT"/>
                <w:color w:val="000000"/>
                <w:sz w:val="22"/>
                <w:szCs w:val="22"/>
                <w:lang w:val="fr-CA" w:eastAsia="fr-CA"/>
              </w:rPr>
              <w:t xml:space="preserve"> (EDS 2011)</w:t>
            </w:r>
          </w:p>
        </w:tc>
        <w:tc>
          <w:tcPr>
            <w:tcW w:w="1791" w:type="dxa"/>
            <w:tcBorders>
              <w:top w:val="nil"/>
              <w:left w:val="nil"/>
              <w:bottom w:val="single" w:sz="4" w:space="0" w:color="auto"/>
              <w:right w:val="single" w:sz="8" w:space="0" w:color="auto"/>
            </w:tcBorders>
            <w:vAlign w:val="center"/>
          </w:tcPr>
          <w:p w:rsidR="00686A83" w:rsidRPr="00ED28F5" w:rsidRDefault="00686A83"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12,2 mois</w:t>
            </w:r>
          </w:p>
        </w:tc>
        <w:tc>
          <w:tcPr>
            <w:tcW w:w="1791" w:type="dxa"/>
            <w:tcBorders>
              <w:top w:val="nil"/>
              <w:left w:val="nil"/>
              <w:bottom w:val="single" w:sz="4" w:space="0" w:color="auto"/>
              <w:right w:val="single" w:sz="8" w:space="0" w:color="auto"/>
            </w:tcBorders>
            <w:vAlign w:val="center"/>
          </w:tcPr>
          <w:p w:rsidR="00686A83" w:rsidRPr="00ED28F5" w:rsidRDefault="00686A83"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12,5 mois</w:t>
            </w:r>
          </w:p>
        </w:tc>
      </w:tr>
      <w:tr w:rsidR="00686A83" w:rsidRPr="008A3528"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10</w:t>
            </w:r>
          </w:p>
        </w:tc>
        <w:tc>
          <w:tcPr>
            <w:tcW w:w="6506"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Infécondité (femmes 45-49 ans n'ayant pas eu de naissances vivantes)</w:t>
            </w:r>
          </w:p>
        </w:tc>
        <w:tc>
          <w:tcPr>
            <w:tcW w:w="1403" w:type="dxa"/>
            <w:tcBorders>
              <w:top w:val="nil"/>
              <w:left w:val="nil"/>
              <w:bottom w:val="single" w:sz="4" w:space="0" w:color="auto"/>
              <w:right w:val="single" w:sz="4" w:space="0" w:color="auto"/>
            </w:tcBorders>
            <w:noWrap/>
            <w:vAlign w:val="center"/>
          </w:tcPr>
          <w:p w:rsidR="00686A83" w:rsidRPr="00AA7FEC" w:rsidRDefault="00686A83"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2,9</w:t>
            </w:r>
          </w:p>
        </w:tc>
        <w:tc>
          <w:tcPr>
            <w:tcW w:w="2189" w:type="dxa"/>
            <w:tcBorders>
              <w:top w:val="nil"/>
              <w:left w:val="nil"/>
              <w:bottom w:val="single" w:sz="4" w:space="0" w:color="auto"/>
              <w:right w:val="single" w:sz="8" w:space="0" w:color="auto"/>
            </w:tcBorders>
            <w:noWrap/>
            <w:vAlign w:val="center"/>
          </w:tcPr>
          <w:p w:rsidR="00686A83" w:rsidRPr="00AA7FEC" w:rsidRDefault="00686A83"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 et ICF International</w:t>
            </w:r>
            <w:r>
              <w:rPr>
                <w:rFonts w:ascii="Tw Cen MT" w:hAnsi="Tw Cen MT" w:cs="Tw Cen MT"/>
                <w:color w:val="000000"/>
                <w:sz w:val="22"/>
                <w:szCs w:val="22"/>
                <w:lang w:val="fr-CA" w:eastAsia="fr-CA"/>
              </w:rPr>
              <w:t xml:space="preserve"> (EDS 2011)</w:t>
            </w:r>
          </w:p>
        </w:tc>
        <w:tc>
          <w:tcPr>
            <w:tcW w:w="1791" w:type="dxa"/>
            <w:tcBorders>
              <w:top w:val="nil"/>
              <w:left w:val="nil"/>
              <w:bottom w:val="single" w:sz="4" w:space="0" w:color="auto"/>
              <w:right w:val="single" w:sz="8" w:space="0" w:color="auto"/>
            </w:tcBorders>
            <w:vAlign w:val="center"/>
          </w:tcPr>
          <w:p w:rsidR="00686A83" w:rsidRPr="00ED28F5" w:rsidRDefault="00686A83"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2,9%</w:t>
            </w:r>
          </w:p>
        </w:tc>
        <w:tc>
          <w:tcPr>
            <w:tcW w:w="1791" w:type="dxa"/>
            <w:tcBorders>
              <w:top w:val="nil"/>
              <w:left w:val="nil"/>
              <w:bottom w:val="single" w:sz="4" w:space="0" w:color="auto"/>
              <w:right w:val="single" w:sz="8" w:space="0" w:color="auto"/>
            </w:tcBorders>
            <w:vAlign w:val="center"/>
          </w:tcPr>
          <w:p w:rsidR="00686A83" w:rsidRPr="00ED28F5" w:rsidRDefault="00686A83"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2,9%</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sidRPr="00ED5FA2">
              <w:rPr>
                <w:rFonts w:ascii="Tw Cen MT" w:hAnsi="Tw Cen MT" w:cs="Tw Cen MT"/>
                <w:color w:val="000000"/>
                <w:sz w:val="22"/>
                <w:szCs w:val="22"/>
                <w:lang w:val="fr-CA" w:eastAsia="fr-CA"/>
              </w:rPr>
              <w:t>11</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Proportion des femmes vivant en couple</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64</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 xml:space="preserve">INS </w:t>
            </w:r>
            <w:r>
              <w:rPr>
                <w:rFonts w:ascii="Tw Cen MT" w:hAnsi="Tw Cen MT" w:cs="Tw Cen MT"/>
                <w:color w:val="000000"/>
                <w:sz w:val="22"/>
                <w:szCs w:val="22"/>
                <w:lang w:val="fr-CA" w:eastAsia="fr-CA"/>
              </w:rPr>
              <w:t>(MICS, 2014)</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64</w:t>
            </w:r>
          </w:p>
        </w:tc>
        <w:tc>
          <w:tcPr>
            <w:tcW w:w="1791" w:type="dxa"/>
            <w:tcBorders>
              <w:top w:val="single" w:sz="4" w:space="0" w:color="auto"/>
              <w:left w:val="nil"/>
              <w:bottom w:val="single" w:sz="4" w:space="0" w:color="auto"/>
              <w:right w:val="single" w:sz="4"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12</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Indice synthétique de fécondité</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4,9</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 et ICF International</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4,9</w:t>
            </w:r>
          </w:p>
        </w:tc>
        <w:tc>
          <w:tcPr>
            <w:tcW w:w="1791" w:type="dxa"/>
            <w:tcBorders>
              <w:top w:val="single" w:sz="4" w:space="0" w:color="auto"/>
              <w:left w:val="nil"/>
              <w:bottom w:val="single" w:sz="4" w:space="0" w:color="auto"/>
              <w:right w:val="single" w:sz="4"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lastRenderedPageBreak/>
              <w:t>13</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naissance à risque</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59,7</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INS et ICF International</w:t>
            </w:r>
            <w:r>
              <w:rPr>
                <w:rFonts w:ascii="Tw Cen MT" w:hAnsi="Tw Cen MT" w:cs="Tw Cen MT"/>
                <w:color w:val="000000"/>
                <w:sz w:val="22"/>
                <w:szCs w:val="22"/>
                <w:lang w:val="fr-CA" w:eastAsia="fr-CA"/>
              </w:rPr>
              <w:t xml:space="preserve"> (EDS, 2011)</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59,7</w:t>
            </w:r>
          </w:p>
        </w:tc>
        <w:tc>
          <w:tcPr>
            <w:tcW w:w="1791" w:type="dxa"/>
            <w:tcBorders>
              <w:top w:val="single" w:sz="4" w:space="0" w:color="auto"/>
              <w:left w:val="nil"/>
              <w:bottom w:val="single" w:sz="4" w:space="0" w:color="auto"/>
              <w:right w:val="single" w:sz="4"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14</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mortalité infantile (moins de 1 an)</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69</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UNICEF/INS et ICF International</w:t>
            </w:r>
            <w:r>
              <w:rPr>
                <w:rFonts w:ascii="Tw Cen MT" w:hAnsi="Tw Cen MT" w:cs="Tw Cen MT"/>
                <w:color w:val="000000"/>
                <w:sz w:val="22"/>
                <w:szCs w:val="22"/>
                <w:lang w:val="fr-CA" w:eastAsia="fr-CA"/>
              </w:rPr>
              <w:t xml:space="preserve"> (MICS, 2014)</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69</w:t>
            </w:r>
          </w:p>
        </w:tc>
        <w:tc>
          <w:tcPr>
            <w:tcW w:w="1791" w:type="dxa"/>
            <w:tcBorders>
              <w:top w:val="single" w:sz="4" w:space="0" w:color="auto"/>
              <w:left w:val="nil"/>
              <w:bottom w:val="single" w:sz="4" w:space="0" w:color="auto"/>
              <w:right w:val="single" w:sz="4" w:space="0" w:color="auto"/>
            </w:tcBorders>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15</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mortalité infanto-juvénile (des moins de 5 ans)</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95</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UNICEF/INS et ICF International</w:t>
            </w:r>
            <w:r>
              <w:rPr>
                <w:rFonts w:ascii="Tw Cen MT" w:hAnsi="Tw Cen MT" w:cs="Tw Cen MT"/>
                <w:color w:val="000000"/>
                <w:sz w:val="22"/>
                <w:szCs w:val="22"/>
                <w:lang w:val="fr-CA" w:eastAsia="fr-CA"/>
              </w:rPr>
              <w:t xml:space="preserve"> (MICS, 2014)</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95</w:t>
            </w:r>
          </w:p>
        </w:tc>
        <w:tc>
          <w:tcPr>
            <w:tcW w:w="1791" w:type="dxa"/>
            <w:tcBorders>
              <w:top w:val="single" w:sz="4" w:space="0" w:color="auto"/>
              <w:left w:val="nil"/>
              <w:bottom w:val="single" w:sz="4" w:space="0" w:color="auto"/>
              <w:right w:val="single" w:sz="4" w:space="0" w:color="auto"/>
            </w:tcBorders>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16</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Pr>
                <w:rFonts w:ascii="Tw Cen MT" w:hAnsi="Tw Cen MT" w:cs="Tw Cen MT"/>
                <w:color w:val="000000"/>
                <w:sz w:val="22"/>
                <w:szCs w:val="22"/>
                <w:lang w:val="fr-CA" w:eastAsia="fr-CA"/>
              </w:rPr>
              <w:t>Rapport</w:t>
            </w:r>
            <w:r w:rsidRPr="008A3528">
              <w:rPr>
                <w:rFonts w:ascii="Tw Cen MT" w:hAnsi="Tw Cen MT" w:cs="Tw Cen MT"/>
                <w:color w:val="000000"/>
                <w:sz w:val="22"/>
                <w:szCs w:val="22"/>
                <w:lang w:val="fr-CA" w:eastAsia="fr-CA"/>
              </w:rPr>
              <w:t xml:space="preserve"> de mortalité maternelle</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782</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Banque mondiale/INS et ICF International</w:t>
            </w:r>
            <w:r>
              <w:rPr>
                <w:rFonts w:ascii="Tw Cen MT" w:hAnsi="Tw Cen MT" w:cs="Tw Cen MT"/>
                <w:color w:val="000000"/>
                <w:sz w:val="22"/>
                <w:szCs w:val="22"/>
                <w:lang w:val="fr-CA" w:eastAsia="fr-CA"/>
              </w:rPr>
              <w:t xml:space="preserve"> (EDS, 2011)</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782</w:t>
            </w:r>
          </w:p>
        </w:tc>
        <w:tc>
          <w:tcPr>
            <w:tcW w:w="1791" w:type="dxa"/>
            <w:tcBorders>
              <w:top w:val="single" w:sz="4" w:space="0" w:color="auto"/>
              <w:left w:val="nil"/>
              <w:bottom w:val="single" w:sz="4" w:space="0" w:color="auto"/>
              <w:right w:val="single" w:sz="4" w:space="0" w:color="auto"/>
            </w:tcBorders>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17</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Efficacité de la contraception moderne</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0,95</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Hypothèse théorique</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0,95</w:t>
            </w:r>
          </w:p>
        </w:tc>
        <w:tc>
          <w:tcPr>
            <w:tcW w:w="1791" w:type="dxa"/>
            <w:tcBorders>
              <w:top w:val="single" w:sz="4" w:space="0" w:color="auto"/>
              <w:left w:val="nil"/>
              <w:bottom w:val="single" w:sz="4" w:space="0" w:color="auto"/>
              <w:right w:val="single" w:sz="4" w:space="0" w:color="auto"/>
            </w:tcBorders>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18</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Efficacité de la contraception traditionnelle</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0,5</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Hypothèse théorique</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0,5</w:t>
            </w:r>
          </w:p>
        </w:tc>
        <w:tc>
          <w:tcPr>
            <w:tcW w:w="1791" w:type="dxa"/>
            <w:tcBorders>
              <w:top w:val="single" w:sz="4" w:space="0" w:color="auto"/>
              <w:left w:val="nil"/>
              <w:bottom w:val="single" w:sz="4" w:space="0" w:color="auto"/>
              <w:right w:val="single" w:sz="4" w:space="0" w:color="auto"/>
            </w:tcBorders>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ED5FA2" w:rsidTr="00ED5FA2">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ED5FA2"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19</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Espérance de vie des femmes</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58,65</w:t>
            </w:r>
          </w:p>
        </w:tc>
        <w:tc>
          <w:tcPr>
            <w:tcW w:w="2189" w:type="dxa"/>
            <w:tcBorders>
              <w:top w:val="single" w:sz="4" w:space="0" w:color="auto"/>
              <w:left w:val="nil"/>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Banque mondiale/INS et ICF International</w:t>
            </w:r>
            <w:r>
              <w:rPr>
                <w:rFonts w:ascii="Tw Cen MT" w:hAnsi="Tw Cen MT" w:cs="Tw Cen MT"/>
                <w:color w:val="000000"/>
                <w:sz w:val="22"/>
                <w:szCs w:val="22"/>
                <w:lang w:val="fr-CA" w:eastAsia="fr-CA"/>
              </w:rPr>
              <w:t xml:space="preserve"> (2010)</w:t>
            </w:r>
          </w:p>
        </w:tc>
        <w:tc>
          <w:tcPr>
            <w:tcW w:w="1791" w:type="dxa"/>
            <w:tcBorders>
              <w:top w:val="single" w:sz="4" w:space="0" w:color="auto"/>
              <w:left w:val="nil"/>
              <w:bottom w:val="single" w:sz="4" w:space="0" w:color="auto"/>
              <w:right w:val="single" w:sz="8" w:space="0" w:color="auto"/>
            </w:tcBorders>
            <w:vAlign w:val="center"/>
          </w:tcPr>
          <w:p w:rsidR="00ED5FA2" w:rsidRPr="008A3528"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58,65</w:t>
            </w:r>
          </w:p>
        </w:tc>
        <w:tc>
          <w:tcPr>
            <w:tcW w:w="1791" w:type="dxa"/>
            <w:tcBorders>
              <w:top w:val="single" w:sz="4" w:space="0" w:color="auto"/>
              <w:left w:val="nil"/>
              <w:bottom w:val="single" w:sz="4" w:space="0" w:color="auto"/>
              <w:right w:val="single" w:sz="4" w:space="0" w:color="auto"/>
            </w:tcBorders>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ED5FA2" w:rsidTr="006924E0">
        <w:trPr>
          <w:trHeight w:val="300"/>
        </w:trPr>
        <w:tc>
          <w:tcPr>
            <w:tcW w:w="14140" w:type="dxa"/>
            <w:gridSpan w:val="6"/>
            <w:tcBorders>
              <w:top w:val="single" w:sz="4" w:space="0" w:color="auto"/>
              <w:left w:val="single" w:sz="4" w:space="0" w:color="auto"/>
              <w:bottom w:val="single" w:sz="4" w:space="0" w:color="auto"/>
              <w:right w:val="single" w:sz="4" w:space="0" w:color="auto"/>
            </w:tcBorders>
            <w:noWrap/>
            <w:vAlign w:val="bottom"/>
          </w:tcPr>
          <w:p w:rsidR="00ED5FA2" w:rsidRPr="00ED5FA2" w:rsidRDefault="00ED5FA2" w:rsidP="00C0257C">
            <w:pPr>
              <w:pStyle w:val="Paragraphedeliste"/>
              <w:spacing w:line="276" w:lineRule="auto"/>
              <w:ind w:left="0"/>
              <w:jc w:val="both"/>
              <w:rPr>
                <w:rFonts w:ascii="Tw Cen MT" w:hAnsi="Tw Cen MT" w:cs="Tw Cen MT"/>
                <w:b/>
                <w:color w:val="000000"/>
                <w:lang w:val="fr-CA" w:eastAsia="fr-CA"/>
              </w:rPr>
            </w:pPr>
            <w:r w:rsidRPr="00ED5FA2">
              <w:rPr>
                <w:rFonts w:ascii="Tw Cen MT" w:hAnsi="Tw Cen MT" w:cs="Tw Cen MT"/>
                <w:b/>
                <w:color w:val="000000"/>
                <w:sz w:val="22"/>
                <w:szCs w:val="22"/>
                <w:lang w:val="fr-CA" w:eastAsia="fr-CA"/>
              </w:rPr>
              <w:t>Gouvernance</w:t>
            </w:r>
          </w:p>
        </w:tc>
      </w:tr>
      <w:tr w:rsidR="00ED5FA2" w:rsidRPr="00650CE0"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20</w:t>
            </w:r>
          </w:p>
        </w:tc>
        <w:tc>
          <w:tcPr>
            <w:tcW w:w="6506" w:type="dxa"/>
            <w:tcBorders>
              <w:top w:val="nil"/>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Gouvernance publique</w:t>
            </w:r>
          </w:p>
        </w:tc>
        <w:tc>
          <w:tcPr>
            <w:tcW w:w="1403" w:type="dxa"/>
            <w:tcBorders>
              <w:top w:val="nil"/>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3,41</w:t>
            </w:r>
          </w:p>
        </w:tc>
        <w:tc>
          <w:tcPr>
            <w:tcW w:w="2189" w:type="dxa"/>
            <w:tcBorders>
              <w:top w:val="nil"/>
              <w:left w:val="nil"/>
              <w:bottom w:val="single" w:sz="4" w:space="0" w:color="auto"/>
              <w:right w:val="single" w:sz="8" w:space="0" w:color="auto"/>
            </w:tcBorders>
            <w:noWrap/>
            <w:vAlign w:val="center"/>
          </w:tcPr>
          <w:p w:rsidR="00ED5FA2" w:rsidRPr="002F03FD" w:rsidRDefault="00ED5FA2" w:rsidP="00ED5FA2">
            <w:pPr>
              <w:pStyle w:val="Paragraphedeliste"/>
              <w:spacing w:line="276" w:lineRule="auto"/>
              <w:ind w:left="0"/>
              <w:rPr>
                <w:rFonts w:ascii="Tw Cen MT" w:hAnsi="Tw Cen MT" w:cs="Tw Cen MT"/>
                <w:color w:val="000000"/>
                <w:lang w:val="en-CA" w:eastAsia="fr-CA"/>
              </w:rPr>
            </w:pPr>
            <w:r w:rsidRPr="002F03FD">
              <w:rPr>
                <w:rFonts w:ascii="Tw Cen MT" w:hAnsi="Tw Cen MT" w:cs="Tw Cen MT"/>
                <w:color w:val="000000"/>
                <w:sz w:val="22"/>
                <w:szCs w:val="22"/>
                <w:lang w:val="en-CA" w:eastAsia="fr-CA"/>
              </w:rPr>
              <w:t>World Economic Forum, Global Competitiveness Report 2014-2019</w:t>
            </w:r>
          </w:p>
        </w:tc>
        <w:tc>
          <w:tcPr>
            <w:tcW w:w="1791" w:type="dxa"/>
            <w:tcBorders>
              <w:top w:val="nil"/>
              <w:left w:val="nil"/>
              <w:bottom w:val="single" w:sz="4" w:space="0" w:color="auto"/>
              <w:right w:val="single" w:sz="8" w:space="0" w:color="auto"/>
            </w:tcBorders>
            <w:vAlign w:val="center"/>
          </w:tcPr>
          <w:p w:rsidR="00ED5FA2" w:rsidRPr="00ED28F5" w:rsidRDefault="00ED5FA2"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3,41</w:t>
            </w:r>
          </w:p>
        </w:tc>
        <w:tc>
          <w:tcPr>
            <w:tcW w:w="1791" w:type="dxa"/>
            <w:tcBorders>
              <w:top w:val="nil"/>
              <w:left w:val="nil"/>
              <w:bottom w:val="single" w:sz="4" w:space="0" w:color="auto"/>
              <w:right w:val="single" w:sz="8" w:space="0" w:color="auto"/>
            </w:tcBorders>
            <w:vAlign w:val="center"/>
          </w:tcPr>
          <w:p w:rsidR="00ED5FA2" w:rsidRPr="00ED28F5" w:rsidRDefault="00ED5FA2"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3,8</w:t>
            </w:r>
          </w:p>
        </w:tc>
      </w:tr>
      <w:tr w:rsidR="00ED5FA2" w:rsidRPr="00650CE0" w:rsidTr="00ED5FA2">
        <w:trPr>
          <w:trHeight w:val="300"/>
        </w:trPr>
        <w:tc>
          <w:tcPr>
            <w:tcW w:w="14140" w:type="dxa"/>
            <w:gridSpan w:val="6"/>
            <w:tcBorders>
              <w:top w:val="nil"/>
              <w:left w:val="single" w:sz="8" w:space="0" w:color="auto"/>
              <w:bottom w:val="single" w:sz="4" w:space="0" w:color="auto"/>
              <w:right w:val="single" w:sz="8"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ED5FA2">
              <w:rPr>
                <w:rFonts w:ascii="Tw Cen MT" w:hAnsi="Tw Cen MT" w:cs="Tw Cen MT"/>
                <w:b/>
                <w:color w:val="000000"/>
                <w:sz w:val="22"/>
                <w:szCs w:val="22"/>
                <w:lang w:val="fr-CA" w:eastAsia="fr-CA"/>
              </w:rPr>
              <w:t>Économie</w:t>
            </w:r>
          </w:p>
        </w:tc>
      </w:tr>
      <w:tr w:rsidR="00ED5FA2" w:rsidRPr="00650CE0" w:rsidTr="00ED5FA2">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21</w:t>
            </w:r>
          </w:p>
        </w:tc>
        <w:tc>
          <w:tcPr>
            <w:tcW w:w="6506" w:type="dxa"/>
            <w:tcBorders>
              <w:top w:val="nil"/>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 des importations dans le PIB</w:t>
            </w:r>
          </w:p>
        </w:tc>
        <w:tc>
          <w:tcPr>
            <w:tcW w:w="1403" w:type="dxa"/>
            <w:tcBorders>
              <w:top w:val="nil"/>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33,87</w:t>
            </w:r>
          </w:p>
        </w:tc>
        <w:tc>
          <w:tcPr>
            <w:tcW w:w="2189" w:type="dxa"/>
            <w:tcBorders>
              <w:top w:val="nil"/>
              <w:left w:val="nil"/>
              <w:bottom w:val="single" w:sz="4" w:space="0" w:color="auto"/>
              <w:right w:val="single" w:sz="8" w:space="0" w:color="auto"/>
            </w:tcBorders>
            <w:noWrap/>
            <w:vAlign w:val="center"/>
          </w:tcPr>
          <w:p w:rsidR="00ED5FA2" w:rsidRPr="002F03FD" w:rsidRDefault="00ED5FA2" w:rsidP="00ED5FA2">
            <w:pPr>
              <w:pStyle w:val="Paragraphedeliste"/>
              <w:spacing w:line="276" w:lineRule="auto"/>
              <w:ind w:left="0"/>
              <w:rPr>
                <w:rFonts w:ascii="Tw Cen MT" w:hAnsi="Tw Cen MT" w:cs="Tw Cen MT"/>
                <w:color w:val="000000"/>
                <w:lang w:val="en-CA" w:eastAsia="fr-CA"/>
              </w:rPr>
            </w:pPr>
            <w:r w:rsidRPr="002F03FD">
              <w:rPr>
                <w:rFonts w:ascii="Tw Cen MT" w:hAnsi="Tw Cen MT" w:cs="Tw Cen MT"/>
                <w:color w:val="000000"/>
                <w:sz w:val="22"/>
                <w:szCs w:val="22"/>
                <w:lang w:val="en-CA" w:eastAsia="fr-CA"/>
              </w:rPr>
              <w:t>World Economic Forum, Global Competitiveness Report 2014-2017</w:t>
            </w:r>
          </w:p>
        </w:tc>
        <w:tc>
          <w:tcPr>
            <w:tcW w:w="1791" w:type="dxa"/>
            <w:tcBorders>
              <w:top w:val="nil"/>
              <w:left w:val="nil"/>
              <w:bottom w:val="single" w:sz="4" w:space="0" w:color="auto"/>
              <w:right w:val="single" w:sz="8" w:space="0" w:color="auto"/>
            </w:tcBorders>
            <w:vAlign w:val="center"/>
          </w:tcPr>
          <w:p w:rsidR="00ED5FA2" w:rsidRPr="00ED28F5" w:rsidRDefault="00ED5FA2"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33,87%</w:t>
            </w:r>
          </w:p>
        </w:tc>
        <w:tc>
          <w:tcPr>
            <w:tcW w:w="1791" w:type="dxa"/>
            <w:tcBorders>
              <w:top w:val="nil"/>
              <w:left w:val="nil"/>
              <w:bottom w:val="single" w:sz="4" w:space="0" w:color="auto"/>
              <w:right w:val="single" w:sz="8" w:space="0" w:color="auto"/>
            </w:tcBorders>
            <w:vAlign w:val="center"/>
          </w:tcPr>
          <w:p w:rsidR="00ED5FA2" w:rsidRPr="00ED28F5" w:rsidRDefault="00ED5FA2" w:rsidP="00ED5FA2">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23%</w:t>
            </w:r>
          </w:p>
        </w:tc>
      </w:tr>
      <w:tr w:rsidR="00ED5FA2" w:rsidRPr="00650CE0" w:rsidTr="006924E0">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22</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Flexibilité du marché du travail</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4,39</w:t>
            </w:r>
          </w:p>
        </w:tc>
        <w:tc>
          <w:tcPr>
            <w:tcW w:w="2189" w:type="dxa"/>
            <w:tcBorders>
              <w:top w:val="single" w:sz="4" w:space="0" w:color="auto"/>
              <w:left w:val="nil"/>
              <w:bottom w:val="single" w:sz="4" w:space="0" w:color="auto"/>
              <w:right w:val="single" w:sz="8" w:space="0" w:color="auto"/>
            </w:tcBorders>
            <w:noWrap/>
            <w:vAlign w:val="center"/>
          </w:tcPr>
          <w:p w:rsidR="00ED5FA2" w:rsidRPr="002F03FD" w:rsidRDefault="00ED5FA2" w:rsidP="00ED5FA2">
            <w:pPr>
              <w:pStyle w:val="Paragraphedeliste"/>
              <w:spacing w:line="276" w:lineRule="auto"/>
              <w:ind w:left="0"/>
              <w:rPr>
                <w:rFonts w:ascii="Tw Cen MT" w:hAnsi="Tw Cen MT" w:cs="Tw Cen MT"/>
                <w:color w:val="000000"/>
                <w:lang w:val="en-CA" w:eastAsia="fr-CA"/>
              </w:rPr>
            </w:pPr>
            <w:r w:rsidRPr="002F03FD">
              <w:rPr>
                <w:rFonts w:ascii="Tw Cen MT" w:hAnsi="Tw Cen MT" w:cs="Tw Cen MT"/>
                <w:color w:val="000000"/>
                <w:sz w:val="22"/>
                <w:szCs w:val="22"/>
                <w:lang w:val="en-CA" w:eastAsia="fr-CA"/>
              </w:rPr>
              <w:t>World Economic Forum, Global Competitiveness Report 2014-2015</w:t>
            </w:r>
          </w:p>
        </w:tc>
        <w:tc>
          <w:tcPr>
            <w:tcW w:w="1791" w:type="dxa"/>
            <w:tcBorders>
              <w:top w:val="single" w:sz="4" w:space="0" w:color="auto"/>
              <w:left w:val="nil"/>
              <w:bottom w:val="single" w:sz="4" w:space="0" w:color="auto"/>
              <w:right w:val="single" w:sz="8" w:space="0" w:color="auto"/>
            </w:tcBorders>
            <w:vAlign w:val="center"/>
          </w:tcPr>
          <w:p w:rsidR="00ED5FA2" w:rsidRPr="00ED28F5"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4,39</w:t>
            </w:r>
          </w:p>
        </w:tc>
        <w:tc>
          <w:tcPr>
            <w:tcW w:w="1791" w:type="dxa"/>
            <w:tcBorders>
              <w:top w:val="single" w:sz="4" w:space="0" w:color="auto"/>
              <w:left w:val="nil"/>
              <w:bottom w:val="single" w:sz="4" w:space="0" w:color="auto"/>
              <w:right w:val="single" w:sz="4" w:space="0" w:color="auto"/>
            </w:tcBorders>
            <w:vAlign w:val="center"/>
          </w:tcPr>
          <w:p w:rsidR="00ED5FA2" w:rsidRPr="00ED28F5"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4,90</w:t>
            </w:r>
          </w:p>
        </w:tc>
      </w:tr>
      <w:tr w:rsidR="00ED5FA2" w:rsidRPr="00650CE0" w:rsidTr="006924E0">
        <w:trPr>
          <w:trHeight w:val="300"/>
        </w:trPr>
        <w:tc>
          <w:tcPr>
            <w:tcW w:w="460" w:type="dxa"/>
            <w:tcBorders>
              <w:top w:val="single" w:sz="4" w:space="0" w:color="auto"/>
              <w:left w:val="single" w:sz="4"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lastRenderedPageBreak/>
              <w:t>23</w:t>
            </w:r>
          </w:p>
        </w:tc>
        <w:tc>
          <w:tcPr>
            <w:tcW w:w="6506" w:type="dxa"/>
            <w:tcBorders>
              <w:top w:val="single" w:sz="4" w:space="0" w:color="auto"/>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Efficacité du marché financier</w:t>
            </w:r>
          </w:p>
        </w:tc>
        <w:tc>
          <w:tcPr>
            <w:tcW w:w="1403" w:type="dxa"/>
            <w:tcBorders>
              <w:top w:val="single" w:sz="4" w:space="0" w:color="auto"/>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3,04</w:t>
            </w:r>
          </w:p>
        </w:tc>
        <w:tc>
          <w:tcPr>
            <w:tcW w:w="2189" w:type="dxa"/>
            <w:tcBorders>
              <w:top w:val="single" w:sz="4" w:space="0" w:color="auto"/>
              <w:left w:val="nil"/>
              <w:bottom w:val="single" w:sz="4" w:space="0" w:color="auto"/>
              <w:right w:val="single" w:sz="8" w:space="0" w:color="auto"/>
            </w:tcBorders>
            <w:noWrap/>
            <w:vAlign w:val="center"/>
          </w:tcPr>
          <w:p w:rsidR="00ED5FA2" w:rsidRPr="002F03FD" w:rsidRDefault="00ED5FA2" w:rsidP="006924E0">
            <w:pPr>
              <w:pStyle w:val="Paragraphedeliste"/>
              <w:spacing w:line="276" w:lineRule="auto"/>
              <w:ind w:left="0"/>
              <w:rPr>
                <w:rFonts w:ascii="Tw Cen MT" w:hAnsi="Tw Cen MT" w:cs="Tw Cen MT"/>
                <w:color w:val="000000"/>
                <w:lang w:val="en-CA" w:eastAsia="fr-CA"/>
              </w:rPr>
            </w:pPr>
            <w:r w:rsidRPr="002F03FD">
              <w:rPr>
                <w:rFonts w:ascii="Tw Cen MT" w:hAnsi="Tw Cen MT" w:cs="Tw Cen MT"/>
                <w:color w:val="000000"/>
                <w:sz w:val="22"/>
                <w:szCs w:val="22"/>
                <w:lang w:val="en-CA" w:eastAsia="fr-CA"/>
              </w:rPr>
              <w:t>World Economic Forum, Global Competitiveness Report 2014-2016</w:t>
            </w:r>
          </w:p>
        </w:tc>
        <w:tc>
          <w:tcPr>
            <w:tcW w:w="1791" w:type="dxa"/>
            <w:tcBorders>
              <w:top w:val="single" w:sz="4" w:space="0" w:color="auto"/>
              <w:left w:val="nil"/>
              <w:bottom w:val="single" w:sz="4" w:space="0" w:color="auto"/>
              <w:right w:val="single" w:sz="8" w:space="0" w:color="auto"/>
            </w:tcBorders>
            <w:vAlign w:val="center"/>
          </w:tcPr>
          <w:p w:rsidR="00ED5FA2" w:rsidRPr="00ED28F5" w:rsidRDefault="00ED5FA2" w:rsidP="006924E0">
            <w:pPr>
              <w:pStyle w:val="Paragraphedeliste"/>
              <w:spacing w:line="276" w:lineRule="auto"/>
              <w:ind w:left="0"/>
              <w:rPr>
                <w:rFonts w:ascii="Tw Cen MT" w:hAnsi="Tw Cen MT" w:cs="Tw Cen MT"/>
                <w:color w:val="000000"/>
                <w:lang w:val="fr-CA" w:eastAsia="fr-CA"/>
              </w:rPr>
            </w:pPr>
            <w:r w:rsidRPr="00ED28F5">
              <w:rPr>
                <w:rFonts w:ascii="Tw Cen MT" w:hAnsi="Tw Cen MT" w:cs="Tw Cen MT"/>
                <w:color w:val="000000"/>
                <w:sz w:val="22"/>
                <w:szCs w:val="22"/>
                <w:lang w:val="fr-CA" w:eastAsia="fr-CA"/>
              </w:rPr>
              <w:t>3,04</w:t>
            </w:r>
          </w:p>
        </w:tc>
        <w:tc>
          <w:tcPr>
            <w:tcW w:w="1791" w:type="dxa"/>
            <w:tcBorders>
              <w:top w:val="single" w:sz="4" w:space="0" w:color="auto"/>
              <w:left w:val="nil"/>
              <w:bottom w:val="single" w:sz="4" w:space="0" w:color="auto"/>
              <w:right w:val="single" w:sz="4" w:space="0" w:color="auto"/>
            </w:tcBorders>
            <w:vAlign w:val="center"/>
          </w:tcPr>
          <w:p w:rsidR="00ED5FA2" w:rsidRPr="00ED28F5" w:rsidRDefault="00ED5FA2" w:rsidP="006924E0">
            <w:pPr>
              <w:pStyle w:val="Paragraphedeliste"/>
              <w:spacing w:line="276" w:lineRule="auto"/>
              <w:ind w:left="0"/>
              <w:rPr>
                <w:rFonts w:ascii="Tw Cen MT" w:hAnsi="Tw Cen MT" w:cs="Tw Cen MT"/>
                <w:color w:val="000000"/>
                <w:lang w:val="fr-CA" w:eastAsia="fr-CA"/>
              </w:rPr>
            </w:pPr>
            <w:r w:rsidRPr="00ED28F5">
              <w:rPr>
                <w:rFonts w:ascii="Tw Cen MT" w:hAnsi="Tw Cen MT" w:cs="Tw Cen MT"/>
                <w:color w:val="000000"/>
                <w:sz w:val="22"/>
                <w:szCs w:val="22"/>
                <w:lang w:val="fr-CA" w:eastAsia="fr-CA"/>
              </w:rPr>
              <w:t>3,60</w:t>
            </w:r>
          </w:p>
        </w:tc>
      </w:tr>
      <w:tr w:rsidR="00ED5FA2" w:rsidRPr="00650CE0"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Pr>
                <w:rFonts w:ascii="Tw Cen MT" w:hAnsi="Tw Cen MT" w:cs="Tw Cen MT"/>
                <w:color w:val="000000"/>
                <w:sz w:val="22"/>
                <w:szCs w:val="22"/>
                <w:lang w:val="fr-CA" w:eastAsia="fr-CA"/>
              </w:rPr>
              <w:t>24</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Utilisation des TIC</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1,2</w:t>
            </w:r>
          </w:p>
        </w:tc>
        <w:tc>
          <w:tcPr>
            <w:tcW w:w="2189" w:type="dxa"/>
            <w:tcBorders>
              <w:top w:val="nil"/>
              <w:left w:val="nil"/>
              <w:bottom w:val="single" w:sz="4" w:space="0" w:color="auto"/>
              <w:right w:val="single" w:sz="8" w:space="0" w:color="auto"/>
            </w:tcBorders>
            <w:noWrap/>
            <w:vAlign w:val="center"/>
          </w:tcPr>
          <w:p w:rsidR="00ED5FA2" w:rsidRPr="002F03FD" w:rsidRDefault="00ED5FA2" w:rsidP="006924E0">
            <w:pPr>
              <w:pStyle w:val="Paragraphedeliste"/>
              <w:spacing w:line="276" w:lineRule="auto"/>
              <w:ind w:left="0"/>
              <w:rPr>
                <w:rFonts w:ascii="Tw Cen MT" w:hAnsi="Tw Cen MT" w:cs="Tw Cen MT"/>
                <w:color w:val="000000"/>
                <w:lang w:val="en-CA" w:eastAsia="fr-CA"/>
              </w:rPr>
            </w:pPr>
            <w:r w:rsidRPr="002F03FD">
              <w:rPr>
                <w:rFonts w:ascii="Tw Cen MT" w:hAnsi="Tw Cen MT" w:cs="Tw Cen MT"/>
                <w:color w:val="000000"/>
                <w:sz w:val="22"/>
                <w:szCs w:val="22"/>
                <w:lang w:val="en-CA" w:eastAsia="fr-CA"/>
              </w:rPr>
              <w:t>World Economic Forum, Global Competitiveness Report 2014-2018</w:t>
            </w:r>
          </w:p>
        </w:tc>
        <w:tc>
          <w:tcPr>
            <w:tcW w:w="1791" w:type="dxa"/>
            <w:tcBorders>
              <w:top w:val="nil"/>
              <w:left w:val="nil"/>
              <w:bottom w:val="single" w:sz="4" w:space="0" w:color="auto"/>
              <w:right w:val="single" w:sz="8" w:space="0" w:color="auto"/>
            </w:tcBorders>
            <w:vAlign w:val="center"/>
          </w:tcPr>
          <w:p w:rsidR="00ED5FA2" w:rsidRPr="00ED28F5" w:rsidRDefault="00ED5FA2" w:rsidP="006924E0">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1,2</w:t>
            </w:r>
          </w:p>
        </w:tc>
        <w:tc>
          <w:tcPr>
            <w:tcW w:w="1791" w:type="dxa"/>
            <w:tcBorders>
              <w:top w:val="nil"/>
              <w:left w:val="nil"/>
              <w:bottom w:val="single" w:sz="4" w:space="0" w:color="auto"/>
              <w:right w:val="single" w:sz="8" w:space="0" w:color="auto"/>
            </w:tcBorders>
            <w:vAlign w:val="center"/>
          </w:tcPr>
          <w:p w:rsidR="00ED5FA2" w:rsidRPr="00ED28F5" w:rsidRDefault="00ED5FA2" w:rsidP="006924E0">
            <w:pPr>
              <w:pStyle w:val="Paragraphedeliste"/>
              <w:spacing w:line="276" w:lineRule="auto"/>
              <w:ind w:left="0"/>
              <w:jc w:val="right"/>
              <w:rPr>
                <w:rFonts w:ascii="Tw Cen MT" w:hAnsi="Tw Cen MT" w:cs="Tw Cen MT"/>
                <w:color w:val="000000"/>
                <w:lang w:val="fr-CA" w:eastAsia="fr-CA"/>
              </w:rPr>
            </w:pPr>
            <w:r w:rsidRPr="00ED28F5">
              <w:rPr>
                <w:rFonts w:ascii="Tw Cen MT" w:hAnsi="Tw Cen MT" w:cs="Tw Cen MT"/>
                <w:color w:val="000000"/>
                <w:sz w:val="22"/>
                <w:szCs w:val="22"/>
                <w:lang w:val="fr-CA" w:eastAsia="fr-CA"/>
              </w:rPr>
              <w:t>4</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25</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Formation du capital par tête</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178,4992145</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Banque mondiale</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178,4992145</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ED5FA2">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26</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Nombre de nouveaux emplois</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8334809,57</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ILO</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8334809,57</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27</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croissance de nouveaux emplois</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0,032</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ILO</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0,032</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28</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PIB/tête</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2400</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Banque mondiale</w:t>
            </w:r>
            <w:r>
              <w:rPr>
                <w:rFonts w:ascii="Tw Cen MT" w:hAnsi="Tw Cen MT" w:cs="Tw Cen MT"/>
                <w:color w:val="000000"/>
                <w:sz w:val="22"/>
                <w:szCs w:val="22"/>
                <w:lang w:val="fr-CA" w:eastAsia="fr-CA"/>
              </w:rPr>
              <w:t xml:space="preserve"> (2010) </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2400</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29</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Ratio du stock de capital/Pop 15+</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4549,304319</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UN/MINFI/BEAC</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4549,304319</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30</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de croissance du PIB initial</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0,029</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BM/INS et ICF International</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0,029</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31</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AA7FEC">
              <w:rPr>
                <w:rFonts w:ascii="Tw Cen MT" w:hAnsi="Tw Cen MT" w:cs="Tw Cen MT"/>
                <w:color w:val="000000"/>
                <w:sz w:val="22"/>
                <w:szCs w:val="22"/>
                <w:lang w:val="fr-CA" w:eastAsia="fr-CA"/>
              </w:rPr>
              <w:t>Taux de croissance du stock de capital</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0,071</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Futur group</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0,071</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32</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Écart d'espérance de vie homme-femme</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1,860001</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BUCREP/INS et ICF International/Banque mondiale</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1,860001</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33</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Taux d'amortissement du stock de capital</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0,04</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Banque mondiale</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0,04</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6924E0">
        <w:trPr>
          <w:trHeight w:val="300"/>
        </w:trPr>
        <w:tc>
          <w:tcPr>
            <w:tcW w:w="460" w:type="dxa"/>
            <w:tcBorders>
              <w:top w:val="nil"/>
              <w:left w:val="single" w:sz="8" w:space="0" w:color="auto"/>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34</w:t>
            </w:r>
          </w:p>
        </w:tc>
        <w:tc>
          <w:tcPr>
            <w:tcW w:w="6506"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Pourcentage des dépenses en éducation dans le primaire dans le PIB/tête</w:t>
            </w:r>
          </w:p>
        </w:tc>
        <w:tc>
          <w:tcPr>
            <w:tcW w:w="1403" w:type="dxa"/>
            <w:tcBorders>
              <w:top w:val="nil"/>
              <w:left w:val="nil"/>
              <w:bottom w:val="single" w:sz="4" w:space="0" w:color="auto"/>
              <w:right w:val="single" w:sz="4" w:space="0" w:color="auto"/>
            </w:tcBorders>
            <w:noWrap/>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0,0604</w:t>
            </w:r>
          </w:p>
        </w:tc>
        <w:tc>
          <w:tcPr>
            <w:tcW w:w="2189" w:type="dxa"/>
            <w:tcBorders>
              <w:top w:val="nil"/>
              <w:left w:val="nil"/>
              <w:bottom w:val="single" w:sz="4" w:space="0" w:color="auto"/>
              <w:right w:val="single" w:sz="8" w:space="0" w:color="auto"/>
            </w:tcBorders>
            <w:noWrap/>
            <w:vAlign w:val="center"/>
          </w:tcPr>
          <w:p w:rsidR="00ED5FA2" w:rsidRPr="00AA7FEC" w:rsidRDefault="00ED5FA2" w:rsidP="006924E0">
            <w:pPr>
              <w:pStyle w:val="Paragraphedeliste"/>
              <w:spacing w:line="276" w:lineRule="auto"/>
              <w:ind w:left="0"/>
              <w:rPr>
                <w:rFonts w:ascii="Tw Cen MT" w:hAnsi="Tw Cen MT" w:cs="Tw Cen MT"/>
                <w:color w:val="000000"/>
                <w:lang w:val="fr-CA" w:eastAsia="fr-CA"/>
              </w:rPr>
            </w:pPr>
            <w:r w:rsidRPr="008A3528">
              <w:rPr>
                <w:rFonts w:ascii="Tw Cen MT" w:hAnsi="Tw Cen MT" w:cs="Tw Cen MT"/>
                <w:color w:val="000000"/>
                <w:sz w:val="22"/>
                <w:szCs w:val="22"/>
                <w:lang w:val="fr-CA" w:eastAsia="fr-CA"/>
              </w:rPr>
              <w:t>UNESCO</w:t>
            </w:r>
            <w:r>
              <w:rPr>
                <w:rFonts w:ascii="Tw Cen MT" w:hAnsi="Tw Cen MT" w:cs="Tw Cen MT"/>
                <w:color w:val="000000"/>
                <w:sz w:val="22"/>
                <w:szCs w:val="22"/>
                <w:lang w:val="fr-CA" w:eastAsia="fr-CA"/>
              </w:rPr>
              <w:t xml:space="preserve"> (2010)</w:t>
            </w:r>
          </w:p>
        </w:tc>
        <w:tc>
          <w:tcPr>
            <w:tcW w:w="1791" w:type="dxa"/>
            <w:tcBorders>
              <w:top w:val="nil"/>
              <w:left w:val="nil"/>
              <w:bottom w:val="single" w:sz="4" w:space="0" w:color="auto"/>
              <w:right w:val="single" w:sz="8" w:space="0" w:color="auto"/>
            </w:tcBorders>
            <w:vAlign w:val="center"/>
          </w:tcPr>
          <w:p w:rsidR="00ED5FA2" w:rsidRPr="008A3528" w:rsidRDefault="00ED5FA2" w:rsidP="006924E0">
            <w:pPr>
              <w:pStyle w:val="Paragraphedeliste"/>
              <w:spacing w:line="276" w:lineRule="auto"/>
              <w:ind w:left="0"/>
              <w:jc w:val="right"/>
              <w:rPr>
                <w:rFonts w:ascii="Tw Cen MT" w:hAnsi="Tw Cen MT" w:cs="Tw Cen MT"/>
                <w:color w:val="000000"/>
                <w:lang w:val="fr-CA" w:eastAsia="fr-CA"/>
              </w:rPr>
            </w:pPr>
            <w:r w:rsidRPr="008A3528">
              <w:rPr>
                <w:rFonts w:ascii="Tw Cen MT" w:hAnsi="Tw Cen MT" w:cs="Tw Cen MT"/>
                <w:color w:val="000000"/>
                <w:sz w:val="22"/>
                <w:szCs w:val="22"/>
                <w:lang w:val="fr-CA" w:eastAsia="fr-CA"/>
              </w:rPr>
              <w:t>0,0604</w:t>
            </w:r>
          </w:p>
        </w:tc>
        <w:tc>
          <w:tcPr>
            <w:tcW w:w="1791" w:type="dxa"/>
            <w:tcBorders>
              <w:top w:val="nil"/>
              <w:left w:val="nil"/>
              <w:bottom w:val="single" w:sz="4" w:space="0" w:color="auto"/>
              <w:right w:val="single" w:sz="8" w:space="0" w:color="auto"/>
            </w:tcBorders>
            <w:vAlign w:val="center"/>
          </w:tcPr>
          <w:p w:rsidR="00ED5FA2" w:rsidRPr="00AA7FEC" w:rsidRDefault="00ED5FA2" w:rsidP="006924E0">
            <w:pPr>
              <w:pStyle w:val="Paragraphedeliste"/>
              <w:spacing w:line="276" w:lineRule="auto"/>
              <w:ind w:left="0"/>
              <w:jc w:val="right"/>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r w:rsidR="00ED5FA2" w:rsidRPr="008A3528" w:rsidTr="00C0257C">
        <w:trPr>
          <w:trHeight w:val="315"/>
        </w:trPr>
        <w:tc>
          <w:tcPr>
            <w:tcW w:w="460" w:type="dxa"/>
            <w:tcBorders>
              <w:top w:val="nil"/>
              <w:left w:val="single" w:sz="8" w:space="0" w:color="auto"/>
              <w:bottom w:val="single" w:sz="8" w:space="0" w:color="auto"/>
              <w:right w:val="single" w:sz="4" w:space="0" w:color="auto"/>
            </w:tcBorders>
            <w:noWrap/>
            <w:vAlign w:val="bottom"/>
          </w:tcPr>
          <w:p w:rsidR="00ED5FA2" w:rsidRPr="00AA7FEC" w:rsidRDefault="00ED5FA2" w:rsidP="00C0257C">
            <w:pPr>
              <w:pStyle w:val="Paragraphedeliste"/>
              <w:spacing w:line="276" w:lineRule="auto"/>
              <w:ind w:left="0"/>
              <w:jc w:val="both"/>
              <w:rPr>
                <w:rFonts w:ascii="Tw Cen MT" w:hAnsi="Tw Cen MT" w:cs="Tw Cen MT"/>
                <w:color w:val="000000"/>
                <w:lang w:val="fr-CA" w:eastAsia="fr-CA"/>
              </w:rPr>
            </w:pPr>
            <w:r w:rsidRPr="00AA7FEC">
              <w:rPr>
                <w:rFonts w:ascii="Tw Cen MT" w:hAnsi="Tw Cen MT" w:cs="Tw Cen MT"/>
                <w:color w:val="000000"/>
                <w:sz w:val="22"/>
                <w:szCs w:val="22"/>
                <w:lang w:val="fr-CA" w:eastAsia="fr-CA"/>
              </w:rPr>
              <w:t>35</w:t>
            </w:r>
          </w:p>
        </w:tc>
        <w:tc>
          <w:tcPr>
            <w:tcW w:w="6506" w:type="dxa"/>
            <w:tcBorders>
              <w:top w:val="nil"/>
              <w:left w:val="nil"/>
              <w:bottom w:val="single" w:sz="8" w:space="0" w:color="auto"/>
              <w:right w:val="single" w:sz="4" w:space="0" w:color="auto"/>
            </w:tcBorders>
            <w:noWrap/>
            <w:vAlign w:val="bottom"/>
          </w:tcPr>
          <w:p w:rsidR="00ED5FA2" w:rsidRPr="00AA7FEC" w:rsidRDefault="00ED5FA2" w:rsidP="00C0257C">
            <w:pPr>
              <w:pStyle w:val="Paragraphedeliste"/>
              <w:spacing w:line="276" w:lineRule="auto"/>
              <w:ind w:left="0"/>
              <w:jc w:val="both"/>
              <w:rPr>
                <w:rFonts w:ascii="Tw Cen MT" w:hAnsi="Tw Cen MT" w:cs="Tw Cen MT"/>
                <w:color w:val="000000"/>
                <w:lang w:val="fr-CA" w:eastAsia="fr-CA"/>
              </w:rPr>
            </w:pPr>
            <w:r>
              <w:rPr>
                <w:rFonts w:ascii="Tw Cen MT" w:hAnsi="Tw Cen MT" w:cs="Tw Cen MT"/>
                <w:color w:val="000000"/>
                <w:sz w:val="22"/>
                <w:szCs w:val="22"/>
                <w:lang w:val="fr-CA" w:eastAsia="fr-CA"/>
              </w:rPr>
              <w:t>Taux de participation à l’activité</w:t>
            </w:r>
            <w:r w:rsidRPr="008A3528">
              <w:rPr>
                <w:rFonts w:ascii="Tw Cen MT" w:hAnsi="Tw Cen MT" w:cs="Tw Cen MT"/>
                <w:color w:val="000000"/>
                <w:sz w:val="22"/>
                <w:szCs w:val="22"/>
                <w:lang w:val="fr-CA" w:eastAsia="fr-CA"/>
              </w:rPr>
              <w:t xml:space="preserve"> (Labor Force Participation Rate)</w:t>
            </w:r>
          </w:p>
        </w:tc>
        <w:tc>
          <w:tcPr>
            <w:tcW w:w="1403" w:type="dxa"/>
            <w:tcBorders>
              <w:top w:val="nil"/>
              <w:left w:val="nil"/>
              <w:bottom w:val="single" w:sz="4" w:space="0" w:color="auto"/>
              <w:right w:val="single" w:sz="4" w:space="0" w:color="auto"/>
            </w:tcBorders>
            <w:noWrap/>
            <w:vAlign w:val="bottom"/>
          </w:tcPr>
          <w:p w:rsidR="00ED5FA2" w:rsidRPr="00AA7FEC" w:rsidRDefault="00ED5FA2"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1</w:t>
            </w:r>
          </w:p>
        </w:tc>
        <w:tc>
          <w:tcPr>
            <w:tcW w:w="2189" w:type="dxa"/>
            <w:tcBorders>
              <w:top w:val="nil"/>
              <w:left w:val="nil"/>
              <w:bottom w:val="single" w:sz="4" w:space="0" w:color="auto"/>
              <w:right w:val="single" w:sz="8" w:space="0" w:color="auto"/>
            </w:tcBorders>
            <w:noWrap/>
            <w:vAlign w:val="bottom"/>
          </w:tcPr>
          <w:p w:rsidR="00ED5FA2" w:rsidRPr="00AA7FEC" w:rsidRDefault="00ED5FA2"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Constant</w:t>
            </w:r>
          </w:p>
        </w:tc>
        <w:tc>
          <w:tcPr>
            <w:tcW w:w="1791" w:type="dxa"/>
            <w:tcBorders>
              <w:top w:val="nil"/>
              <w:left w:val="nil"/>
              <w:bottom w:val="single" w:sz="4" w:space="0" w:color="auto"/>
              <w:right w:val="single" w:sz="8" w:space="0" w:color="auto"/>
            </w:tcBorders>
          </w:tcPr>
          <w:p w:rsidR="00ED5FA2" w:rsidRPr="008A3528" w:rsidRDefault="00ED5FA2" w:rsidP="00C0257C">
            <w:pPr>
              <w:pStyle w:val="Paragraphedeliste"/>
              <w:spacing w:line="276" w:lineRule="auto"/>
              <w:ind w:left="0"/>
              <w:jc w:val="both"/>
              <w:rPr>
                <w:rFonts w:ascii="Tw Cen MT" w:hAnsi="Tw Cen MT" w:cs="Tw Cen MT"/>
                <w:color w:val="000000"/>
                <w:lang w:val="fr-CA" w:eastAsia="fr-CA"/>
              </w:rPr>
            </w:pPr>
            <w:r w:rsidRPr="008A3528">
              <w:rPr>
                <w:rFonts w:ascii="Tw Cen MT" w:hAnsi="Tw Cen MT" w:cs="Tw Cen MT"/>
                <w:color w:val="000000"/>
                <w:sz w:val="22"/>
                <w:szCs w:val="22"/>
                <w:lang w:val="fr-CA" w:eastAsia="fr-CA"/>
              </w:rPr>
              <w:t>1</w:t>
            </w:r>
          </w:p>
        </w:tc>
        <w:tc>
          <w:tcPr>
            <w:tcW w:w="1791" w:type="dxa"/>
            <w:tcBorders>
              <w:top w:val="nil"/>
              <w:left w:val="nil"/>
              <w:bottom w:val="single" w:sz="4" w:space="0" w:color="auto"/>
              <w:right w:val="single" w:sz="8" w:space="0" w:color="auto"/>
            </w:tcBorders>
          </w:tcPr>
          <w:p w:rsidR="00ED5FA2" w:rsidRPr="00AA7FEC" w:rsidRDefault="00ED5FA2" w:rsidP="00C0257C">
            <w:pPr>
              <w:pStyle w:val="Paragraphedeliste"/>
              <w:spacing w:line="276" w:lineRule="auto"/>
              <w:ind w:left="0"/>
              <w:jc w:val="both"/>
              <w:rPr>
                <w:rFonts w:ascii="Tw Cen MT" w:hAnsi="Tw Cen MT" w:cs="Tw Cen MT"/>
                <w:color w:val="000000"/>
                <w:lang w:val="fr-CA" w:eastAsia="fr-CA"/>
              </w:rPr>
            </w:pPr>
            <w:r w:rsidRPr="00625B75">
              <w:rPr>
                <w:rFonts w:ascii="Tw Cen MT" w:hAnsi="Tw Cen MT" w:cs="Tw Cen MT"/>
                <w:color w:val="000000"/>
                <w:sz w:val="22"/>
                <w:szCs w:val="22"/>
                <w:lang w:val="fr-CA" w:eastAsia="fr-CA"/>
              </w:rPr>
              <w:t>Non concerné</w:t>
            </w:r>
          </w:p>
        </w:tc>
      </w:tr>
    </w:tbl>
    <w:p w:rsidR="00686A83" w:rsidRDefault="00686A83" w:rsidP="00686A83">
      <w:pPr>
        <w:pStyle w:val="Paragraphedeliste"/>
        <w:spacing w:line="276" w:lineRule="auto"/>
        <w:ind w:left="360"/>
        <w:jc w:val="both"/>
        <w:sectPr w:rsidR="00686A83" w:rsidSect="00C0257C">
          <w:pgSz w:w="16838" w:h="11906" w:orient="landscape"/>
          <w:pgMar w:top="1418" w:right="1418" w:bottom="1418" w:left="1418" w:header="709" w:footer="709" w:gutter="567"/>
          <w:pgNumType w:start="1"/>
          <w:cols w:space="708"/>
          <w:docGrid w:linePitch="360"/>
        </w:sectPr>
      </w:pPr>
    </w:p>
    <w:bookmarkEnd w:id="111"/>
    <w:p w:rsidR="00A703E6" w:rsidRDefault="00116899">
      <w:pPr>
        <w:pStyle w:val="Lgende"/>
        <w:rPr>
          <w:b/>
        </w:rPr>
      </w:pPr>
      <w:r w:rsidRPr="00116899">
        <w:rPr>
          <w:b/>
        </w:rPr>
        <w:lastRenderedPageBreak/>
        <w:t>Tableau A2</w:t>
      </w:r>
      <w:r w:rsidR="00FD24EA">
        <w:rPr>
          <w:b/>
        </w:rPr>
        <w:t>.</w:t>
      </w:r>
      <w:r w:rsidRPr="00116899">
        <w:rPr>
          <w:b/>
        </w:rPr>
        <w:t xml:space="preserve"> Évolution de l’Indice Synthétique de Fécondité au Cameroun</w:t>
      </w:r>
    </w:p>
    <w:tbl>
      <w:tblPr>
        <w:tblW w:w="5000" w:type="pct"/>
        <w:jc w:val="right"/>
        <w:tblCellMar>
          <w:left w:w="70" w:type="dxa"/>
          <w:right w:w="70" w:type="dxa"/>
        </w:tblCellMar>
        <w:tblLook w:val="00A0"/>
      </w:tblPr>
      <w:tblGrid>
        <w:gridCol w:w="1672"/>
        <w:gridCol w:w="1669"/>
        <w:gridCol w:w="1669"/>
        <w:gridCol w:w="1892"/>
        <w:gridCol w:w="2310"/>
      </w:tblGrid>
      <w:tr w:rsidR="00FD24EA" w:rsidRPr="002B645F" w:rsidTr="002B645F">
        <w:trPr>
          <w:trHeight w:val="404"/>
          <w:jc w:val="right"/>
        </w:trPr>
        <w:tc>
          <w:tcPr>
            <w:tcW w:w="907" w:type="pct"/>
            <w:tcBorders>
              <w:top w:val="double" w:sz="6" w:space="0" w:color="auto"/>
              <w:left w:val="nil"/>
              <w:bottom w:val="double" w:sz="6" w:space="0" w:color="auto"/>
              <w:right w:val="double" w:sz="6" w:space="0" w:color="auto"/>
            </w:tcBorders>
            <w:noWrap/>
            <w:vAlign w:val="center"/>
          </w:tcPr>
          <w:p w:rsidR="00FD24EA" w:rsidRPr="002B645F" w:rsidRDefault="00116899" w:rsidP="00FD24EA">
            <w:pPr>
              <w:jc w:val="center"/>
              <w:rPr>
                <w:rFonts w:ascii="Tw Cen MT" w:hAnsi="Tw Cen MT"/>
                <w:b/>
                <w:bCs/>
              </w:rPr>
            </w:pPr>
            <w:r w:rsidRPr="00116899">
              <w:rPr>
                <w:rFonts w:ascii="Tw Cen MT" w:hAnsi="Tw Cen MT"/>
                <w:b/>
                <w:bCs/>
                <w:sz w:val="22"/>
                <w:szCs w:val="22"/>
              </w:rPr>
              <w:t>Année</w:t>
            </w:r>
          </w:p>
        </w:tc>
        <w:tc>
          <w:tcPr>
            <w:tcW w:w="906" w:type="pct"/>
            <w:tcBorders>
              <w:top w:val="double" w:sz="6" w:space="0" w:color="auto"/>
              <w:left w:val="double" w:sz="6" w:space="0" w:color="auto"/>
              <w:bottom w:val="double" w:sz="6" w:space="0" w:color="auto"/>
              <w:right w:val="double" w:sz="6" w:space="0" w:color="auto"/>
            </w:tcBorders>
            <w:noWrap/>
            <w:vAlign w:val="center"/>
          </w:tcPr>
          <w:p w:rsidR="00FD24EA" w:rsidRPr="002B645F" w:rsidRDefault="00116899" w:rsidP="00FD24EA">
            <w:pPr>
              <w:jc w:val="center"/>
              <w:rPr>
                <w:rFonts w:ascii="Tw Cen MT" w:hAnsi="Tw Cen MT"/>
                <w:b/>
                <w:bCs/>
              </w:rPr>
            </w:pPr>
            <w:r w:rsidRPr="00116899">
              <w:rPr>
                <w:rFonts w:ascii="Tw Cen MT" w:hAnsi="Tw Cen MT"/>
                <w:b/>
                <w:bCs/>
                <w:sz w:val="22"/>
                <w:szCs w:val="22"/>
              </w:rPr>
              <w:t>Base</w:t>
            </w:r>
          </w:p>
        </w:tc>
        <w:tc>
          <w:tcPr>
            <w:tcW w:w="906" w:type="pct"/>
            <w:tcBorders>
              <w:top w:val="double" w:sz="6" w:space="0" w:color="auto"/>
              <w:left w:val="double" w:sz="6" w:space="0" w:color="auto"/>
              <w:bottom w:val="double" w:sz="6" w:space="0" w:color="auto"/>
              <w:right w:val="double" w:sz="6" w:space="0" w:color="auto"/>
            </w:tcBorders>
            <w:noWrap/>
            <w:vAlign w:val="center"/>
          </w:tcPr>
          <w:p w:rsidR="00FD24EA" w:rsidRPr="002B645F" w:rsidRDefault="00116899" w:rsidP="00FD24EA">
            <w:pPr>
              <w:jc w:val="center"/>
              <w:rPr>
                <w:rFonts w:ascii="Tw Cen MT" w:hAnsi="Tw Cen MT"/>
                <w:b/>
                <w:bCs/>
              </w:rPr>
            </w:pPr>
            <w:proofErr w:type="spellStart"/>
            <w:r w:rsidRPr="00116899">
              <w:rPr>
                <w:rFonts w:ascii="Tw Cen MT" w:hAnsi="Tw Cen MT"/>
                <w:b/>
                <w:bCs/>
                <w:sz w:val="22"/>
                <w:szCs w:val="22"/>
              </w:rPr>
              <w:t>Econ</w:t>
            </w:r>
            <w:proofErr w:type="spellEnd"/>
          </w:p>
        </w:tc>
        <w:tc>
          <w:tcPr>
            <w:tcW w:w="1027" w:type="pct"/>
            <w:tcBorders>
              <w:top w:val="double" w:sz="6" w:space="0" w:color="auto"/>
              <w:left w:val="double" w:sz="6" w:space="0" w:color="auto"/>
              <w:bottom w:val="double" w:sz="6" w:space="0" w:color="auto"/>
              <w:right w:val="double" w:sz="6" w:space="0" w:color="auto"/>
            </w:tcBorders>
            <w:noWrap/>
          </w:tcPr>
          <w:p w:rsidR="00FD24EA" w:rsidRPr="002B645F" w:rsidRDefault="00116899" w:rsidP="00FD24EA">
            <w:pPr>
              <w:jc w:val="center"/>
              <w:rPr>
                <w:rFonts w:ascii="Tw Cen MT" w:hAnsi="Tw Cen MT"/>
                <w:color w:val="000000"/>
              </w:rPr>
            </w:pPr>
            <w:proofErr w:type="spellStart"/>
            <w:r w:rsidRPr="00116899">
              <w:rPr>
                <w:rFonts w:ascii="Tw Cen MT" w:hAnsi="Tw Cen MT"/>
                <w:b/>
                <w:bCs/>
                <w:sz w:val="22"/>
                <w:szCs w:val="22"/>
              </w:rPr>
              <w:t>Econ</w:t>
            </w:r>
            <w:proofErr w:type="spellEnd"/>
            <w:r w:rsidRPr="00116899">
              <w:rPr>
                <w:rFonts w:ascii="Tw Cen MT" w:hAnsi="Tw Cen MT"/>
                <w:b/>
                <w:bCs/>
                <w:sz w:val="22"/>
                <w:szCs w:val="22"/>
              </w:rPr>
              <w:t xml:space="preserve"> + Ed</w:t>
            </w:r>
          </w:p>
        </w:tc>
        <w:tc>
          <w:tcPr>
            <w:tcW w:w="1254" w:type="pct"/>
            <w:tcBorders>
              <w:top w:val="double" w:sz="6" w:space="0" w:color="auto"/>
              <w:left w:val="double" w:sz="6" w:space="0" w:color="auto"/>
              <w:bottom w:val="double" w:sz="6" w:space="0" w:color="auto"/>
              <w:right w:val="nil"/>
            </w:tcBorders>
            <w:noWrap/>
            <w:vAlign w:val="center"/>
          </w:tcPr>
          <w:p w:rsidR="00FD24EA" w:rsidRPr="002B645F" w:rsidRDefault="00116899" w:rsidP="002B645F">
            <w:pPr>
              <w:jc w:val="center"/>
              <w:rPr>
                <w:rFonts w:ascii="Tw Cen MT" w:hAnsi="Tw Cen MT"/>
                <w:b/>
                <w:bCs/>
              </w:rPr>
            </w:pPr>
            <w:proofErr w:type="spellStart"/>
            <w:r w:rsidRPr="00116899">
              <w:rPr>
                <w:rFonts w:ascii="Tw Cen MT" w:hAnsi="Tw Cen MT"/>
                <w:b/>
                <w:bCs/>
                <w:sz w:val="22"/>
                <w:szCs w:val="22"/>
              </w:rPr>
              <w:t>Econ</w:t>
            </w:r>
            <w:proofErr w:type="spellEnd"/>
            <w:r w:rsidRPr="00116899">
              <w:rPr>
                <w:rFonts w:ascii="Tw Cen MT" w:hAnsi="Tw Cen MT"/>
                <w:b/>
                <w:bCs/>
                <w:sz w:val="22"/>
                <w:szCs w:val="22"/>
              </w:rPr>
              <w:t xml:space="preserve"> + Ed + </w:t>
            </w:r>
            <w:r w:rsidR="002B645F">
              <w:rPr>
                <w:rFonts w:ascii="Tw Cen MT" w:hAnsi="Tw Cen MT"/>
                <w:b/>
                <w:bCs/>
                <w:sz w:val="22"/>
                <w:szCs w:val="22"/>
              </w:rPr>
              <w:t>Santé</w:t>
            </w:r>
          </w:p>
        </w:tc>
      </w:tr>
      <w:tr w:rsidR="00FD24EA" w:rsidRPr="002B645F" w:rsidTr="002B645F">
        <w:trPr>
          <w:trHeight w:val="344"/>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2010</w:t>
            </w:r>
          </w:p>
        </w:tc>
        <w:tc>
          <w:tcPr>
            <w:tcW w:w="906" w:type="pct"/>
            <w:tcBorders>
              <w:top w:val="nil"/>
              <w:left w:val="single" w:sz="4" w:space="0" w:color="auto"/>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254" w:type="pct"/>
            <w:tcBorders>
              <w:top w:val="nil"/>
              <w:left w:val="single" w:sz="4" w:space="0" w:color="auto"/>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4,90</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2011</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4,89</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4,84</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2012</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4,87</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4,78</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2013</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4,86</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4,72</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2014</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4,84</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4,66</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2015</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4,83</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4,61</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2016</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4,81</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4,55</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2017</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4,80</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4,49</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2018</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4,79</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4,44</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2019</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4,77</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4,38</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2020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4,76</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4,32</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2021</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4,75</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4,27</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vAlign w:val="center"/>
          </w:tcPr>
          <w:p w:rsidR="00A703E6" w:rsidRDefault="00116899">
            <w:pPr>
              <w:jc w:val="right"/>
              <w:rPr>
                <w:rFonts w:ascii="Tw Cen MT" w:hAnsi="Tw Cen MT"/>
              </w:rPr>
            </w:pPr>
            <w:r w:rsidRPr="00116899">
              <w:rPr>
                <w:rFonts w:ascii="Tw Cen MT" w:hAnsi="Tw Cen MT"/>
                <w:sz w:val="22"/>
                <w:szCs w:val="22"/>
              </w:rPr>
              <w:t>2022</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4,73</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4,21</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2023</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4,72</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4,16</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2024</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4,71</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4,10</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2025</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4,69</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4,05</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2026</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4,68</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4,00</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2027</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4,67</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3,94</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2028</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4,66</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3,89</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2029</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4,64</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3,84</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4,63</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3,79</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2031</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4,62</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3,74</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2032</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4,61</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3,68</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2033</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4,60</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3,63</w:t>
            </w:r>
          </w:p>
        </w:tc>
      </w:tr>
      <w:tr w:rsidR="00FD24EA" w:rsidRPr="002B645F" w:rsidTr="002B645F">
        <w:trPr>
          <w:trHeight w:val="328"/>
          <w:jc w:val="right"/>
        </w:trPr>
        <w:tc>
          <w:tcPr>
            <w:tcW w:w="90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2034</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nil"/>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4,59</w:t>
            </w:r>
          </w:p>
        </w:tc>
        <w:tc>
          <w:tcPr>
            <w:tcW w:w="1254" w:type="pct"/>
            <w:tcBorders>
              <w:top w:val="nil"/>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3,58</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2035</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4,57</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3,53</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2036</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4,56</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3,48</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2037</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4,55</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3,43</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2038</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4,54</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3,38</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2039</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4,53</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3,33</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4,52</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3,29</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2041</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4,51</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3,24</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2042</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4,50</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3,19</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2043</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4,49</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3,14</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2044</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4,48</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3,09</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2045</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4,47</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3,05</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2046</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4,46</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3,00</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2047</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4,45</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2,95</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rPr>
            </w:pPr>
            <w:r w:rsidRPr="00116899">
              <w:rPr>
                <w:rFonts w:ascii="Tw Cen MT" w:hAnsi="Tw Cen MT"/>
                <w:sz w:val="22"/>
                <w:szCs w:val="22"/>
              </w:rPr>
              <w:lastRenderedPageBreak/>
              <w:t>2048</w:t>
            </w:r>
          </w:p>
        </w:tc>
        <w:tc>
          <w:tcPr>
            <w:tcW w:w="906"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rPr>
            </w:pPr>
            <w:r w:rsidRPr="00116899">
              <w:rPr>
                <w:rFonts w:ascii="Tw Cen MT" w:hAnsi="Tw Cen MT"/>
                <w:sz w:val="22"/>
                <w:szCs w:val="22"/>
              </w:rPr>
              <w:t>4,44</w:t>
            </w:r>
          </w:p>
        </w:tc>
        <w:tc>
          <w:tcPr>
            <w:tcW w:w="1254"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rPr>
            </w:pPr>
            <w:r w:rsidRPr="00116899">
              <w:rPr>
                <w:rFonts w:ascii="Tw Cen MT" w:hAnsi="Tw Cen MT"/>
                <w:sz w:val="22"/>
                <w:szCs w:val="22"/>
              </w:rPr>
              <w:t>2,90</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2049</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4,43</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2,86</w:t>
            </w:r>
          </w:p>
        </w:tc>
      </w:tr>
      <w:tr w:rsidR="00FD24EA" w:rsidRPr="002B645F" w:rsidTr="002B645F">
        <w:trPr>
          <w:trHeight w:val="328"/>
          <w:jc w:val="right"/>
        </w:trPr>
        <w:tc>
          <w:tcPr>
            <w:tcW w:w="90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2050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906"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4,90</w:t>
            </w:r>
          </w:p>
        </w:tc>
        <w:tc>
          <w:tcPr>
            <w:tcW w:w="102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rPr>
            </w:pPr>
            <w:r w:rsidRPr="00116899">
              <w:rPr>
                <w:rFonts w:ascii="Tw Cen MT" w:hAnsi="Tw Cen MT"/>
                <w:sz w:val="22"/>
                <w:szCs w:val="22"/>
              </w:rPr>
              <w:t>4,42</w:t>
            </w:r>
          </w:p>
        </w:tc>
        <w:tc>
          <w:tcPr>
            <w:tcW w:w="1254" w:type="pct"/>
            <w:tcBorders>
              <w:top w:val="single" w:sz="4" w:space="0" w:color="auto"/>
              <w:left w:val="nil"/>
              <w:bottom w:val="single" w:sz="4" w:space="0" w:color="auto"/>
              <w:right w:val="nil"/>
            </w:tcBorders>
            <w:noWrap/>
          </w:tcPr>
          <w:p w:rsidR="00A703E6" w:rsidRDefault="00116899">
            <w:pPr>
              <w:jc w:val="right"/>
              <w:rPr>
                <w:rFonts w:ascii="Tw Cen MT" w:hAnsi="Tw Cen MT"/>
              </w:rPr>
            </w:pPr>
            <w:r w:rsidRPr="00116899">
              <w:rPr>
                <w:rFonts w:ascii="Tw Cen MT" w:hAnsi="Tw Cen MT"/>
                <w:sz w:val="22"/>
                <w:szCs w:val="22"/>
              </w:rPr>
              <w:t>2,81</w:t>
            </w:r>
          </w:p>
        </w:tc>
      </w:tr>
    </w:tbl>
    <w:p w:rsidR="00FD24EA" w:rsidRDefault="00FD24EA" w:rsidP="00FD24EA">
      <w:pPr>
        <w:spacing w:after="200"/>
        <w:rPr>
          <w:rFonts w:ascii="Tw Cen MT" w:hAnsi="Tw Cen MT"/>
          <w:b/>
          <w:bCs/>
          <w:sz w:val="22"/>
          <w:szCs w:val="22"/>
          <w:lang w:eastAsia="en-US"/>
        </w:rPr>
      </w:pPr>
    </w:p>
    <w:p w:rsidR="00FD24EA" w:rsidRDefault="00FD24EA" w:rsidP="00FD24EA">
      <w:pPr>
        <w:spacing w:after="200"/>
        <w:rPr>
          <w:rFonts w:ascii="Tw Cen MT" w:hAnsi="Tw Cen MT"/>
          <w:b/>
          <w:bCs/>
          <w:sz w:val="22"/>
          <w:szCs w:val="22"/>
          <w:lang w:eastAsia="en-US"/>
        </w:rPr>
      </w:pPr>
      <w:r>
        <w:rPr>
          <w:rFonts w:ascii="Tw Cen MT" w:hAnsi="Tw Cen MT"/>
          <w:b/>
          <w:bCs/>
          <w:sz w:val="22"/>
          <w:szCs w:val="22"/>
          <w:lang w:eastAsia="en-US"/>
        </w:rPr>
        <w:br w:type="page"/>
      </w:r>
    </w:p>
    <w:p w:rsidR="00FD24EA" w:rsidRPr="002B645F" w:rsidRDefault="00116899" w:rsidP="00FD24EA">
      <w:pPr>
        <w:pStyle w:val="Lgende"/>
        <w:keepNext/>
        <w:spacing w:after="100"/>
        <w:rPr>
          <w:b/>
          <w:bCs/>
        </w:rPr>
      </w:pPr>
      <w:bookmarkStart w:id="114" w:name="_Toc310152251"/>
      <w:r w:rsidRPr="00116899">
        <w:rPr>
          <w:b/>
          <w:bCs/>
        </w:rPr>
        <w:lastRenderedPageBreak/>
        <w:t xml:space="preserve">Tableau A3. </w:t>
      </w:r>
      <w:r w:rsidR="00FD24EA" w:rsidRPr="002B645F">
        <w:rPr>
          <w:b/>
          <w:color w:val="auto"/>
          <w:lang w:eastAsia="en-US"/>
        </w:rPr>
        <w:t xml:space="preserve">Évolution de PIB/habitant (en dollars US) au </w:t>
      </w:r>
      <w:bookmarkEnd w:id="114"/>
      <w:r w:rsidR="00FD24EA" w:rsidRPr="002B645F">
        <w:rPr>
          <w:b/>
          <w:color w:val="auto"/>
          <w:lang w:eastAsia="en-US"/>
        </w:rPr>
        <w:t>Cameroun</w:t>
      </w:r>
    </w:p>
    <w:tbl>
      <w:tblPr>
        <w:tblW w:w="5000" w:type="pct"/>
        <w:tblInd w:w="2" w:type="dxa"/>
        <w:tblCellMar>
          <w:left w:w="70" w:type="dxa"/>
          <w:right w:w="70" w:type="dxa"/>
        </w:tblCellMar>
        <w:tblLook w:val="00A0"/>
      </w:tblPr>
      <w:tblGrid>
        <w:gridCol w:w="1671"/>
        <w:gridCol w:w="1671"/>
        <w:gridCol w:w="1671"/>
        <w:gridCol w:w="1892"/>
        <w:gridCol w:w="2307"/>
      </w:tblGrid>
      <w:tr w:rsidR="00FD24EA" w:rsidRPr="002B645F" w:rsidTr="00FD24EA">
        <w:trPr>
          <w:trHeight w:val="161"/>
        </w:trPr>
        <w:tc>
          <w:tcPr>
            <w:tcW w:w="907" w:type="pct"/>
            <w:tcBorders>
              <w:top w:val="double" w:sz="6" w:space="0" w:color="auto"/>
              <w:left w:val="nil"/>
              <w:bottom w:val="double" w:sz="6" w:space="0" w:color="auto"/>
              <w:right w:val="nil"/>
            </w:tcBorders>
            <w:noWrap/>
            <w:vAlign w:val="bottom"/>
          </w:tcPr>
          <w:p w:rsidR="00FD24EA" w:rsidRPr="002B645F" w:rsidRDefault="00FD24EA" w:rsidP="00FD24EA">
            <w:pPr>
              <w:spacing w:after="200"/>
              <w:jc w:val="center"/>
              <w:rPr>
                <w:rFonts w:ascii="Tw Cen MT" w:hAnsi="Tw Cen MT"/>
                <w:b/>
                <w:bCs/>
                <w:lang w:eastAsia="en-US"/>
              </w:rPr>
            </w:pPr>
            <w:r w:rsidRPr="002B645F">
              <w:rPr>
                <w:rFonts w:ascii="Tw Cen MT" w:hAnsi="Tw Cen MT"/>
                <w:b/>
                <w:bCs/>
                <w:sz w:val="22"/>
                <w:szCs w:val="22"/>
                <w:lang w:eastAsia="en-US"/>
              </w:rPr>
              <w:t>Année</w:t>
            </w:r>
          </w:p>
        </w:tc>
        <w:tc>
          <w:tcPr>
            <w:tcW w:w="907" w:type="pct"/>
            <w:tcBorders>
              <w:top w:val="double" w:sz="6" w:space="0" w:color="auto"/>
              <w:left w:val="double" w:sz="6" w:space="0" w:color="auto"/>
              <w:bottom w:val="double" w:sz="6" w:space="0" w:color="auto"/>
              <w:right w:val="double" w:sz="6" w:space="0" w:color="auto"/>
            </w:tcBorders>
            <w:noWrap/>
            <w:vAlign w:val="bottom"/>
          </w:tcPr>
          <w:p w:rsidR="00FD24EA" w:rsidRPr="002B645F" w:rsidRDefault="00FD24EA" w:rsidP="00FD24EA">
            <w:pPr>
              <w:spacing w:after="200"/>
              <w:jc w:val="center"/>
              <w:rPr>
                <w:rFonts w:ascii="Tw Cen MT" w:hAnsi="Tw Cen MT"/>
                <w:b/>
                <w:bCs/>
                <w:lang w:eastAsia="en-US"/>
              </w:rPr>
            </w:pPr>
            <w:r w:rsidRPr="002B645F">
              <w:rPr>
                <w:rFonts w:ascii="Tw Cen MT" w:hAnsi="Tw Cen MT"/>
                <w:b/>
                <w:bCs/>
                <w:sz w:val="22"/>
                <w:szCs w:val="22"/>
                <w:lang w:eastAsia="en-US"/>
              </w:rPr>
              <w:t>Base</w:t>
            </w:r>
          </w:p>
        </w:tc>
        <w:tc>
          <w:tcPr>
            <w:tcW w:w="907" w:type="pct"/>
            <w:tcBorders>
              <w:top w:val="double" w:sz="6" w:space="0" w:color="auto"/>
              <w:left w:val="nil"/>
              <w:bottom w:val="double" w:sz="6" w:space="0" w:color="auto"/>
              <w:right w:val="double" w:sz="6" w:space="0" w:color="auto"/>
            </w:tcBorders>
            <w:noWrap/>
            <w:vAlign w:val="bottom"/>
          </w:tcPr>
          <w:p w:rsidR="00FD24EA" w:rsidRPr="002B645F" w:rsidRDefault="00FD24EA" w:rsidP="00FD24EA">
            <w:pPr>
              <w:spacing w:after="200"/>
              <w:jc w:val="center"/>
              <w:rPr>
                <w:rFonts w:ascii="Tw Cen MT" w:hAnsi="Tw Cen MT"/>
                <w:b/>
                <w:bCs/>
                <w:lang w:eastAsia="en-US"/>
              </w:rPr>
            </w:pPr>
            <w:proofErr w:type="spellStart"/>
            <w:r w:rsidRPr="002B645F">
              <w:rPr>
                <w:rFonts w:ascii="Tw Cen MT" w:hAnsi="Tw Cen MT"/>
                <w:b/>
                <w:bCs/>
                <w:sz w:val="22"/>
                <w:szCs w:val="22"/>
                <w:lang w:eastAsia="en-US"/>
              </w:rPr>
              <w:t>Econ</w:t>
            </w:r>
            <w:proofErr w:type="spellEnd"/>
          </w:p>
        </w:tc>
        <w:tc>
          <w:tcPr>
            <w:tcW w:w="1027" w:type="pct"/>
            <w:tcBorders>
              <w:top w:val="double" w:sz="6" w:space="0" w:color="auto"/>
              <w:left w:val="nil"/>
              <w:bottom w:val="double" w:sz="6" w:space="0" w:color="auto"/>
              <w:right w:val="double" w:sz="6" w:space="0" w:color="auto"/>
            </w:tcBorders>
            <w:noWrap/>
            <w:vAlign w:val="bottom"/>
          </w:tcPr>
          <w:p w:rsidR="00FD24EA" w:rsidRPr="002B645F" w:rsidRDefault="00FD24EA" w:rsidP="00FD24EA">
            <w:pPr>
              <w:spacing w:after="200"/>
              <w:jc w:val="center"/>
              <w:rPr>
                <w:rFonts w:ascii="Tw Cen MT" w:hAnsi="Tw Cen MT"/>
                <w:b/>
                <w:bCs/>
                <w:lang w:eastAsia="en-US"/>
              </w:rPr>
            </w:pPr>
            <w:proofErr w:type="spellStart"/>
            <w:r w:rsidRPr="002B645F">
              <w:rPr>
                <w:rFonts w:ascii="Tw Cen MT" w:hAnsi="Tw Cen MT"/>
                <w:b/>
                <w:bCs/>
                <w:sz w:val="22"/>
                <w:szCs w:val="22"/>
                <w:lang w:eastAsia="en-US"/>
              </w:rPr>
              <w:t>Econ</w:t>
            </w:r>
            <w:proofErr w:type="spellEnd"/>
            <w:r w:rsidRPr="002B645F">
              <w:rPr>
                <w:rFonts w:ascii="Tw Cen MT" w:hAnsi="Tw Cen MT"/>
                <w:b/>
                <w:bCs/>
                <w:sz w:val="22"/>
                <w:szCs w:val="22"/>
                <w:lang w:eastAsia="en-US"/>
              </w:rPr>
              <w:t xml:space="preserve"> + Ed</w:t>
            </w:r>
          </w:p>
        </w:tc>
        <w:tc>
          <w:tcPr>
            <w:tcW w:w="1252" w:type="pct"/>
            <w:tcBorders>
              <w:top w:val="double" w:sz="6" w:space="0" w:color="auto"/>
              <w:left w:val="nil"/>
              <w:bottom w:val="double" w:sz="6" w:space="0" w:color="auto"/>
              <w:right w:val="nil"/>
            </w:tcBorders>
            <w:noWrap/>
            <w:vAlign w:val="bottom"/>
          </w:tcPr>
          <w:p w:rsidR="00FD24EA" w:rsidRPr="002B645F" w:rsidRDefault="00FD24EA" w:rsidP="00FD24EA">
            <w:pPr>
              <w:spacing w:after="200"/>
              <w:jc w:val="center"/>
              <w:rPr>
                <w:rFonts w:ascii="Tw Cen MT" w:hAnsi="Tw Cen MT"/>
                <w:b/>
                <w:bCs/>
                <w:lang w:eastAsia="en-US"/>
              </w:rPr>
            </w:pPr>
            <w:proofErr w:type="spellStart"/>
            <w:r w:rsidRPr="002B645F">
              <w:rPr>
                <w:rFonts w:ascii="Tw Cen MT" w:hAnsi="Tw Cen MT"/>
                <w:b/>
                <w:bCs/>
                <w:sz w:val="22"/>
                <w:szCs w:val="22"/>
                <w:lang w:eastAsia="en-US"/>
              </w:rPr>
              <w:t>Econ</w:t>
            </w:r>
            <w:proofErr w:type="spellEnd"/>
            <w:r w:rsidRPr="002B645F">
              <w:rPr>
                <w:rFonts w:ascii="Tw Cen MT" w:hAnsi="Tw Cen MT"/>
                <w:b/>
                <w:bCs/>
                <w:sz w:val="22"/>
                <w:szCs w:val="22"/>
                <w:lang w:eastAsia="en-US"/>
              </w:rPr>
              <w:t xml:space="preserve"> + Ed + Santé</w:t>
            </w:r>
          </w:p>
        </w:tc>
      </w:tr>
      <w:tr w:rsidR="00FD24EA" w:rsidRPr="002B645F" w:rsidTr="00FD24EA">
        <w:trPr>
          <w:trHeight w:val="344"/>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2400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2400,00</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2400,00</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2400,00</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2011</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2386</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2417,02</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2432,37</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2433,76</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2012</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2364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2445,39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2481,51</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2485,00</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2013</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2341</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2485,29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2544,25</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2550,32</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2317</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2538,47</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2621,67</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2631,36</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2015</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2293</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2607,49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2716,54</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2730,45</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2016</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2270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2695,36</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2832,43</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2851,33</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2017</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2249</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2805,51</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2973,50</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2998,38</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2018</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2228</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2941,91</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3144,63</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3176,71</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2019</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2209</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3109,14</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3352,86</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3392,34</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2191</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3312,63</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3603,63</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3652,53</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2021</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2177</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3566,68</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3914,32</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3975,10</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2022</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2163</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3869,36</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4283,98</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4359,55</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2023</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2150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4225,69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4719,73</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4813,73</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2135</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4642,39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5230,90</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5347,87</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2025</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2120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5126,46</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5712,78</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5842,03</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2026</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2107</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5586,04</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6246,78</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6402,22</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2027</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2095</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6080,80</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6849,93</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7035,94</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2028</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2084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6630,20</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7523,37</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7744,61</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2029</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2074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7232,09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8265,88</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8527,38</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2030</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2066</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7882,15</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9073,58</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9380,87</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2031</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2058</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8573,51</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9939,44</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10298,31</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2032</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2051</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9297,19</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10853,46</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11270,02</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2033</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10042,96</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11803,42</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12284,33</w:t>
            </w:r>
          </w:p>
        </w:tc>
      </w:tr>
      <w:tr w:rsidR="00FD24EA" w:rsidRPr="002B645F" w:rsidTr="00FD24EA">
        <w:trPr>
          <w:trHeight w:val="328"/>
        </w:trPr>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2034</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2038</w:t>
            </w:r>
          </w:p>
        </w:tc>
        <w:tc>
          <w:tcPr>
            <w:tcW w:w="90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10799,76</w:t>
            </w:r>
          </w:p>
        </w:tc>
        <w:tc>
          <w:tcPr>
            <w:tcW w:w="102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12776,00</w:t>
            </w:r>
          </w:p>
        </w:tc>
        <w:tc>
          <w:tcPr>
            <w:tcW w:w="1252"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13328,04</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2035</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2033</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11556,50</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13758,51</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14387,27</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2036</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2027</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12302,95</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14738,11</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15448,73</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2037</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2022</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13029,83</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15702,80</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16499,88</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2038</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2018</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13728,85</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16641,78</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17529,33</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2039</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2013</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14393,37</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17546,24</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18527,61</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2040</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2009</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15018,50</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18409,27</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19487,35</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2041</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2005</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15602,18</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19227,26</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20404,52</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2042</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2001</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16144,01</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19998,60</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21277,11</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2043</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1996</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16643,88</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20722,27</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22103,65</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2044</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1992</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17102,64</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21398,47</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22883,87</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2045</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1988</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17521,68</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22027,99</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23618,29</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2046</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1984</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17903,80</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22613,28</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24309,20</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2047</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1981</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18252,25</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23157,37</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24959,49</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lastRenderedPageBreak/>
              <w:t>2048</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1977</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18569,55</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23662,77</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25571,51</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2049</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1973</w:t>
            </w:r>
          </w:p>
        </w:tc>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18858,21</w:t>
            </w:r>
          </w:p>
        </w:tc>
        <w:tc>
          <w:tcPr>
            <w:tcW w:w="102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24131,90</w:t>
            </w:r>
          </w:p>
        </w:tc>
        <w:tc>
          <w:tcPr>
            <w:tcW w:w="1252"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26147,58</w:t>
            </w:r>
          </w:p>
        </w:tc>
      </w:tr>
      <w:tr w:rsidR="00FD24EA" w:rsidRPr="002B645F" w:rsidTr="00FD24EA">
        <w:trPr>
          <w:trHeight w:val="328"/>
        </w:trPr>
        <w:tc>
          <w:tcPr>
            <w:tcW w:w="90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2050</w:t>
            </w:r>
          </w:p>
        </w:tc>
        <w:tc>
          <w:tcPr>
            <w:tcW w:w="907"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1967</w:t>
            </w:r>
          </w:p>
        </w:tc>
        <w:tc>
          <w:tcPr>
            <w:tcW w:w="907"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19537,09</w:t>
            </w:r>
          </w:p>
        </w:tc>
        <w:tc>
          <w:tcPr>
            <w:tcW w:w="1027"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25088,06</w:t>
            </w:r>
          </w:p>
        </w:tc>
        <w:tc>
          <w:tcPr>
            <w:tcW w:w="1252"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27277,34</w:t>
            </w:r>
          </w:p>
        </w:tc>
      </w:tr>
    </w:tbl>
    <w:p w:rsidR="00FD24EA" w:rsidRPr="00C265F4" w:rsidRDefault="00FD24EA" w:rsidP="00FD24EA">
      <w:pPr>
        <w:pStyle w:val="Lgende"/>
        <w:keepNext/>
        <w:spacing w:after="100"/>
        <w:rPr>
          <w:rFonts w:ascii="Tw Cen MT" w:hAnsi="Tw Cen MT" w:cs="Tw Cen MT"/>
          <w:b/>
          <w:bCs/>
        </w:rPr>
      </w:pPr>
      <w:bookmarkStart w:id="115" w:name="_Toc310152252"/>
      <w:r>
        <w:rPr>
          <w:rFonts w:ascii="Tw Cen MT" w:hAnsi="Tw Cen MT" w:cs="Tw Cen MT"/>
          <w:b/>
          <w:bCs/>
        </w:rPr>
        <w:br w:type="page"/>
      </w:r>
    </w:p>
    <w:p w:rsidR="00FD24EA" w:rsidRPr="00FD24EA" w:rsidRDefault="00116899" w:rsidP="00FD24EA">
      <w:pPr>
        <w:pStyle w:val="Lgende"/>
        <w:keepNext/>
        <w:rPr>
          <w:b/>
          <w:bCs/>
        </w:rPr>
      </w:pPr>
      <w:r w:rsidRPr="00116899">
        <w:rPr>
          <w:b/>
          <w:bCs/>
        </w:rPr>
        <w:lastRenderedPageBreak/>
        <w:t xml:space="preserve">Tableau A4. </w:t>
      </w:r>
      <w:r w:rsidRPr="00116899">
        <w:rPr>
          <w:b/>
          <w:color w:val="auto"/>
          <w:lang w:eastAsia="en-US"/>
        </w:rPr>
        <w:t xml:space="preserve">Évolution des dépenses publiques au primaire (en dollars US) au </w:t>
      </w:r>
      <w:bookmarkEnd w:id="115"/>
      <w:r w:rsidRPr="00116899">
        <w:rPr>
          <w:b/>
          <w:color w:val="auto"/>
          <w:lang w:eastAsia="en-US"/>
        </w:rPr>
        <w:t>Cameroun</w:t>
      </w:r>
    </w:p>
    <w:tbl>
      <w:tblPr>
        <w:tblW w:w="4933" w:type="pct"/>
        <w:tblCellMar>
          <w:left w:w="70" w:type="dxa"/>
          <w:right w:w="70" w:type="dxa"/>
        </w:tblCellMar>
        <w:tblLook w:val="00A0"/>
      </w:tblPr>
      <w:tblGrid>
        <w:gridCol w:w="965"/>
        <w:gridCol w:w="1987"/>
        <w:gridCol w:w="1987"/>
        <w:gridCol w:w="1987"/>
        <w:gridCol w:w="2163"/>
      </w:tblGrid>
      <w:tr w:rsidR="00FD24EA" w:rsidRPr="00DD3319" w:rsidTr="00FD24EA">
        <w:trPr>
          <w:trHeight w:val="553"/>
        </w:trPr>
        <w:tc>
          <w:tcPr>
            <w:tcW w:w="531" w:type="pct"/>
            <w:tcBorders>
              <w:top w:val="double" w:sz="6" w:space="0" w:color="auto"/>
              <w:left w:val="nil"/>
              <w:bottom w:val="double" w:sz="6" w:space="0" w:color="auto"/>
              <w:right w:val="nil"/>
            </w:tcBorders>
            <w:noWrap/>
            <w:vAlign w:val="center"/>
          </w:tcPr>
          <w:p w:rsidR="00FD24EA" w:rsidRPr="002B645F" w:rsidRDefault="00116899" w:rsidP="00FD24EA">
            <w:pPr>
              <w:jc w:val="center"/>
              <w:rPr>
                <w:rFonts w:ascii="Tw Cen MT" w:hAnsi="Tw Cen MT" w:cs="Tw Cen MT"/>
                <w:b/>
                <w:bCs/>
              </w:rPr>
            </w:pPr>
            <w:r w:rsidRPr="00116899">
              <w:rPr>
                <w:rFonts w:ascii="Tw Cen MT" w:hAnsi="Tw Cen MT" w:cs="Tw Cen MT"/>
                <w:b/>
                <w:bCs/>
                <w:sz w:val="22"/>
                <w:szCs w:val="22"/>
              </w:rPr>
              <w:t>Année</w:t>
            </w:r>
          </w:p>
        </w:tc>
        <w:tc>
          <w:tcPr>
            <w:tcW w:w="1093" w:type="pct"/>
            <w:tcBorders>
              <w:top w:val="double" w:sz="6" w:space="0" w:color="auto"/>
              <w:left w:val="double" w:sz="6" w:space="0" w:color="auto"/>
              <w:bottom w:val="double" w:sz="6" w:space="0" w:color="auto"/>
              <w:right w:val="double" w:sz="6" w:space="0" w:color="auto"/>
            </w:tcBorders>
            <w:noWrap/>
            <w:vAlign w:val="center"/>
          </w:tcPr>
          <w:p w:rsidR="00FD24EA" w:rsidRPr="002B645F" w:rsidRDefault="00116899" w:rsidP="00FD24EA">
            <w:pPr>
              <w:jc w:val="center"/>
              <w:rPr>
                <w:rFonts w:ascii="Tw Cen MT" w:hAnsi="Tw Cen MT" w:cs="Tw Cen MT"/>
                <w:b/>
                <w:bCs/>
              </w:rPr>
            </w:pPr>
            <w:r w:rsidRPr="00116899">
              <w:rPr>
                <w:rFonts w:ascii="Tw Cen MT" w:hAnsi="Tw Cen MT" w:cs="Tw Cen MT"/>
                <w:b/>
                <w:bCs/>
                <w:sz w:val="22"/>
                <w:szCs w:val="22"/>
              </w:rPr>
              <w:t>Base</w:t>
            </w:r>
          </w:p>
        </w:tc>
        <w:tc>
          <w:tcPr>
            <w:tcW w:w="1093" w:type="pct"/>
            <w:tcBorders>
              <w:top w:val="double" w:sz="6" w:space="0" w:color="auto"/>
              <w:left w:val="nil"/>
              <w:bottom w:val="double" w:sz="6" w:space="0" w:color="auto"/>
              <w:right w:val="double" w:sz="6" w:space="0" w:color="auto"/>
            </w:tcBorders>
            <w:noWrap/>
            <w:vAlign w:val="center"/>
          </w:tcPr>
          <w:p w:rsidR="00FD24EA" w:rsidRPr="002B645F" w:rsidRDefault="00116899" w:rsidP="00FD24EA">
            <w:pPr>
              <w:jc w:val="center"/>
              <w:rPr>
                <w:rFonts w:ascii="Tw Cen MT" w:hAnsi="Tw Cen MT" w:cs="Tw Cen MT"/>
                <w:b/>
                <w:bCs/>
              </w:rPr>
            </w:pPr>
            <w:proofErr w:type="spellStart"/>
            <w:r w:rsidRPr="00116899">
              <w:rPr>
                <w:rFonts w:ascii="Tw Cen MT" w:hAnsi="Tw Cen MT" w:cs="Tw Cen MT"/>
                <w:b/>
                <w:bCs/>
                <w:sz w:val="22"/>
                <w:szCs w:val="22"/>
              </w:rPr>
              <w:t>Econ</w:t>
            </w:r>
            <w:proofErr w:type="spellEnd"/>
          </w:p>
        </w:tc>
        <w:tc>
          <w:tcPr>
            <w:tcW w:w="1093" w:type="pct"/>
            <w:tcBorders>
              <w:top w:val="double" w:sz="6" w:space="0" w:color="auto"/>
              <w:left w:val="nil"/>
              <w:bottom w:val="double" w:sz="6" w:space="0" w:color="auto"/>
              <w:right w:val="double" w:sz="6" w:space="0" w:color="auto"/>
            </w:tcBorders>
            <w:noWrap/>
            <w:vAlign w:val="center"/>
          </w:tcPr>
          <w:p w:rsidR="00FD24EA" w:rsidRPr="002B645F" w:rsidRDefault="00116899" w:rsidP="00FD24EA">
            <w:pPr>
              <w:jc w:val="center"/>
              <w:rPr>
                <w:rFonts w:ascii="Tw Cen MT" w:hAnsi="Tw Cen MT" w:cs="Tw Cen MT"/>
                <w:b/>
                <w:bCs/>
              </w:rPr>
            </w:pPr>
            <w:proofErr w:type="spellStart"/>
            <w:r w:rsidRPr="00116899">
              <w:rPr>
                <w:rFonts w:ascii="Tw Cen MT" w:hAnsi="Tw Cen MT" w:cs="Tw Cen MT"/>
                <w:b/>
                <w:bCs/>
                <w:sz w:val="22"/>
                <w:szCs w:val="22"/>
              </w:rPr>
              <w:t>Econ</w:t>
            </w:r>
            <w:proofErr w:type="spellEnd"/>
            <w:r w:rsidRPr="00116899">
              <w:rPr>
                <w:rFonts w:ascii="Tw Cen MT" w:hAnsi="Tw Cen MT" w:cs="Tw Cen MT"/>
                <w:b/>
                <w:bCs/>
                <w:sz w:val="22"/>
                <w:szCs w:val="22"/>
              </w:rPr>
              <w:t xml:space="preserve"> + Ed</w:t>
            </w:r>
          </w:p>
        </w:tc>
        <w:tc>
          <w:tcPr>
            <w:tcW w:w="1191" w:type="pct"/>
            <w:tcBorders>
              <w:top w:val="double" w:sz="6" w:space="0" w:color="auto"/>
              <w:left w:val="nil"/>
              <w:bottom w:val="double" w:sz="6" w:space="0" w:color="auto"/>
              <w:right w:val="nil"/>
            </w:tcBorders>
            <w:noWrap/>
            <w:vAlign w:val="center"/>
          </w:tcPr>
          <w:p w:rsidR="00FD24EA" w:rsidRPr="002B645F" w:rsidRDefault="00116899" w:rsidP="00FD24EA">
            <w:pPr>
              <w:jc w:val="center"/>
              <w:rPr>
                <w:rFonts w:ascii="Tw Cen MT" w:hAnsi="Tw Cen MT" w:cs="Tw Cen MT"/>
                <w:b/>
                <w:bCs/>
              </w:rPr>
            </w:pPr>
            <w:proofErr w:type="spellStart"/>
            <w:r w:rsidRPr="00116899">
              <w:rPr>
                <w:rFonts w:ascii="Tw Cen MT" w:hAnsi="Tw Cen MT" w:cs="Tw Cen MT"/>
                <w:b/>
                <w:bCs/>
                <w:sz w:val="22"/>
                <w:szCs w:val="22"/>
              </w:rPr>
              <w:t>Econ</w:t>
            </w:r>
            <w:proofErr w:type="spellEnd"/>
            <w:r w:rsidRPr="00116899">
              <w:rPr>
                <w:rFonts w:ascii="Tw Cen MT" w:hAnsi="Tw Cen MT" w:cs="Tw Cen MT"/>
                <w:b/>
                <w:bCs/>
                <w:sz w:val="22"/>
                <w:szCs w:val="22"/>
              </w:rPr>
              <w:t xml:space="preserve"> + Ed + Santé</w:t>
            </w:r>
          </w:p>
        </w:tc>
      </w:tr>
      <w:tr w:rsidR="00FD24EA" w:rsidRPr="00DD3319" w:rsidTr="00FD24EA">
        <w:trPr>
          <w:trHeight w:val="363"/>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2010</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736 533 154</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736 533 154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736 533 154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910 477 658 </w:t>
            </w:r>
          </w:p>
        </w:tc>
      </w:tr>
      <w:tr w:rsidR="00FD24EA" w:rsidRPr="00DD3319" w:rsidTr="00FD24EA">
        <w:trPr>
          <w:trHeight w:val="275"/>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2011</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769 606 060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769 606 060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769 637 752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931 336 948 </w:t>
            </w:r>
          </w:p>
        </w:tc>
      </w:tr>
      <w:tr w:rsidR="00FD24EA" w:rsidRPr="00DD3319" w:rsidTr="00FD24EA">
        <w:trPr>
          <w:trHeight w:val="27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2012</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792 713 782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792 713 782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792 785 506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952 311 508 </w:t>
            </w:r>
          </w:p>
        </w:tc>
      </w:tr>
      <w:tr w:rsidR="00FD24EA" w:rsidRPr="00DD3319" w:rsidTr="00FD24EA">
        <w:trPr>
          <w:trHeight w:val="283"/>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2013</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813 749 933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813 749 933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813 872 039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967 418 488 </w:t>
            </w:r>
          </w:p>
        </w:tc>
      </w:tr>
      <w:tr w:rsidR="00FD24EA" w:rsidRPr="00DD3319" w:rsidTr="00FD24EA">
        <w:trPr>
          <w:trHeight w:val="25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2014</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832 341 184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832 341 184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832 527 400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985 450 336 </w:t>
            </w:r>
          </w:p>
        </w:tc>
      </w:tr>
      <w:tr w:rsidR="00FD24EA" w:rsidRPr="00DD3319" w:rsidTr="00FD24EA">
        <w:trPr>
          <w:trHeight w:val="294"/>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2015</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848 282 290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848 282 290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848 554 392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1 006 322 509 </w:t>
            </w:r>
          </w:p>
        </w:tc>
      </w:tr>
      <w:tr w:rsidR="00FD24EA" w:rsidRPr="00DD3319" w:rsidTr="00FD24EA">
        <w:trPr>
          <w:trHeight w:val="26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2016</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869 577 086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869 577 086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869 666 884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1 029 924 469 </w:t>
            </w:r>
          </w:p>
        </w:tc>
      </w:tr>
      <w:tr w:rsidR="00FD24EA" w:rsidRPr="00DD3319" w:rsidTr="00FD24EA">
        <w:trPr>
          <w:trHeight w:val="274"/>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2017</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891 897 393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891 897 393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519 398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1 056 073 966 </w:t>
            </w:r>
          </w:p>
        </w:tc>
      </w:tr>
      <w:tr w:rsidR="00FD24EA" w:rsidRPr="00DD3319" w:rsidTr="00FD24EA">
        <w:trPr>
          <w:trHeight w:val="27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2018</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915 271 139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915 271 139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914 125 629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1 077 629 009 </w:t>
            </w:r>
          </w:p>
        </w:tc>
      </w:tr>
      <w:tr w:rsidR="00FD24EA" w:rsidRPr="00DD3319" w:rsidTr="00FD24EA">
        <w:trPr>
          <w:trHeight w:val="26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2019</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939 745 372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939 745 372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936 643 455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1 098 899 213 </w:t>
            </w:r>
          </w:p>
        </w:tc>
      </w:tr>
      <w:tr w:rsidR="00FD24EA" w:rsidRPr="00DD3319" w:rsidTr="00FD24EA">
        <w:trPr>
          <w:trHeight w:val="287"/>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2020</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965 301 595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 965 301 595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960 240 625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1 119 985 608 </w:t>
            </w:r>
          </w:p>
        </w:tc>
      </w:tr>
      <w:tr w:rsidR="00FD24EA" w:rsidRPr="00DD3319" w:rsidTr="00FD24EA">
        <w:trPr>
          <w:trHeight w:val="263"/>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2021</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985 994 648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985 994 648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978 467 179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1 140 893 825 </w:t>
            </w:r>
          </w:p>
        </w:tc>
      </w:tr>
      <w:tr w:rsidR="00FD24EA" w:rsidRPr="00DD3319" w:rsidTr="00FD24EA">
        <w:trPr>
          <w:trHeight w:val="281"/>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2022</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1 010 654 893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 1 010 654 893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1 000 012 060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1 161 529 682 </w:t>
            </w:r>
          </w:p>
        </w:tc>
      </w:tr>
      <w:tr w:rsidR="00FD24EA" w:rsidRPr="00DD3319" w:rsidTr="00FD24EA">
        <w:trPr>
          <w:trHeight w:val="257"/>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2023</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1 039 237 344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 1 039 237 344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1 024 560 660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1 182 128 607 </w:t>
            </w:r>
          </w:p>
        </w:tc>
      </w:tr>
      <w:tr w:rsidR="00FD24EA" w:rsidRPr="00DD3319" w:rsidTr="00FD24EA">
        <w:trPr>
          <w:trHeight w:val="275"/>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2024</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1 071 674 366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1 071 674 366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1 051 959 105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1 202 933 485 </w:t>
            </w:r>
          </w:p>
        </w:tc>
      </w:tr>
      <w:tr w:rsidR="00FD24EA" w:rsidRPr="00DD3319" w:rsidTr="00FD24EA">
        <w:trPr>
          <w:trHeight w:val="27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2025</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1 107 835 210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1 107 835 210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1 082 424 618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1 223 965 929 </w:t>
            </w:r>
          </w:p>
        </w:tc>
      </w:tr>
      <w:tr w:rsidR="00FD24EA" w:rsidRPr="00DD3319" w:rsidTr="00FD24EA">
        <w:trPr>
          <w:trHeight w:val="26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2026</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1 139 903 097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1 139 903 097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 1 108 411 867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1 245 222 767 </w:t>
            </w:r>
          </w:p>
        </w:tc>
      </w:tr>
      <w:tr w:rsidR="00FD24EA" w:rsidRPr="00DD3319" w:rsidTr="00FD24EA">
        <w:trPr>
          <w:trHeight w:val="273"/>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2027</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1 172 142 379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1 172 142 379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1 134 185 922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1 266 694 764 </w:t>
            </w:r>
          </w:p>
        </w:tc>
      </w:tr>
      <w:tr w:rsidR="00FD24EA" w:rsidRPr="00DD3319" w:rsidTr="00FD24EA">
        <w:trPr>
          <w:trHeight w:val="263"/>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2028</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1 204 538 066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1 204 538 066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1 159 742 894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1 288 424 881 </w:t>
            </w:r>
          </w:p>
        </w:tc>
      </w:tr>
      <w:tr w:rsidR="00FD24EA" w:rsidRPr="00DD3319" w:rsidTr="00FD24EA">
        <w:trPr>
          <w:trHeight w:val="281"/>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2029</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1 237 075 178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1 237 075 178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1 185 083 415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1 310 528 456 </w:t>
            </w:r>
          </w:p>
        </w:tc>
      </w:tr>
      <w:tr w:rsidR="00FD24EA" w:rsidRPr="00DD3319" w:rsidTr="00FD24EA">
        <w:trPr>
          <w:trHeight w:val="285"/>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2030</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1 269 767 902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1 269 767 902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1 210 240 779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1 333 101 193 </w:t>
            </w:r>
          </w:p>
        </w:tc>
      </w:tr>
      <w:tr w:rsidR="00FD24EA" w:rsidRPr="00DD3319" w:rsidTr="00FD24EA">
        <w:trPr>
          <w:trHeight w:val="339"/>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2031</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1 302 903 390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1 302 903 390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1 235 515 305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1 356 202 686 </w:t>
            </w:r>
          </w:p>
        </w:tc>
      </w:tr>
      <w:tr w:rsidR="00FD24EA" w:rsidRPr="00DD3319" w:rsidTr="00FD24EA">
        <w:trPr>
          <w:trHeight w:val="351"/>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2032</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1 336 808 564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1 336 808 564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1 261 305 845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1 379 868 347 </w:t>
            </w:r>
          </w:p>
        </w:tc>
      </w:tr>
      <w:tr w:rsidR="00FD24EA" w:rsidRPr="00DD3319" w:rsidTr="00FD24EA">
        <w:trPr>
          <w:trHeight w:val="311"/>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2033</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1 371 578 393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1 371 578 393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1 287 907 403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1 403 903 912 </w:t>
            </w:r>
          </w:p>
        </w:tc>
      </w:tr>
      <w:tr w:rsidR="00FD24EA" w:rsidRPr="00DD3319" w:rsidTr="00FD24EA">
        <w:trPr>
          <w:trHeight w:val="268"/>
        </w:trPr>
        <w:tc>
          <w:tcPr>
            <w:tcW w:w="531"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2034</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1 407 282 977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1 407 282 977 </w:t>
            </w:r>
          </w:p>
        </w:tc>
        <w:tc>
          <w:tcPr>
            <w:tcW w:w="1093"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1 315 419 643 </w:t>
            </w:r>
          </w:p>
        </w:tc>
        <w:tc>
          <w:tcPr>
            <w:tcW w:w="1191" w:type="pct"/>
            <w:tcBorders>
              <w:top w:val="nil"/>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1 428 153 313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2035</w:t>
            </w:r>
          </w:p>
        </w:tc>
        <w:tc>
          <w:tcPr>
            <w:tcW w:w="1093"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1 443 967 347 </w:t>
            </w:r>
          </w:p>
        </w:tc>
        <w:tc>
          <w:tcPr>
            <w:tcW w:w="1093"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1 443 967 347 </w:t>
            </w:r>
          </w:p>
        </w:tc>
        <w:tc>
          <w:tcPr>
            <w:tcW w:w="1093"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1 343 502 600 </w:t>
            </w:r>
          </w:p>
        </w:tc>
        <w:tc>
          <w:tcPr>
            <w:tcW w:w="1191"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1 452 704 531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2036</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1 481 757 779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1 481 757 779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1 372 248 816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1 477 648 904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2037</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1 520 878 523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1 520 878 523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1 401 834 526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1 503 074 568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2038</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1 561 536 389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1 561 536 389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1 432 401 319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1 528 767 761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2039</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1 603 915 181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1 603 915 181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 1 464 044 292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1 554 476 893 </w:t>
            </w:r>
          </w:p>
        </w:tc>
      </w:tr>
      <w:tr w:rsidR="00FD24EA" w:rsidRPr="00DD3319" w:rsidTr="002B645F">
        <w:trPr>
          <w:trHeight w:val="256"/>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2040</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1 648 172 545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1 648 172 545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1 496 850 344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1 580 214 294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2041</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 1 694 208 545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1 694 208 545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1 530 664 906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1 606 016 067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2042</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1 741 973 736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1 741 973 736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1 565 368 417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1 635 880 622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2043</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1 791 709 979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1 791 709 979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1 601 073 285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910 477 658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2044</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1 843 665 548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1 843 665 548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1 637 890 042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931 336 948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2045</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1 898 083 523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1 898 083 523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1 675 956 439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952 311 508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2046</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1 954 800 170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1 954 800 170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1 715 080 373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967 418 488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2047</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2 013 565 002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2 013 565 002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1 755 005 930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985 450 336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2048</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2 074 459 928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2 074 459 928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1 795 743 372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1 006 322 509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2049</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2 137 575 220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2 137 575 220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1 837 327 061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1 029 924 469 </w:t>
            </w:r>
          </w:p>
        </w:tc>
      </w:tr>
      <w:tr w:rsidR="00FD24EA" w:rsidRPr="00DD3319" w:rsidTr="00FD24EA">
        <w:trPr>
          <w:trHeight w:val="237"/>
        </w:trPr>
        <w:tc>
          <w:tcPr>
            <w:tcW w:w="531"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2050</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2 209 201 903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2 209 201 903 </w:t>
            </w:r>
          </w:p>
        </w:tc>
        <w:tc>
          <w:tcPr>
            <w:tcW w:w="1093" w:type="pct"/>
            <w:tcBorders>
              <w:top w:val="single" w:sz="4" w:space="0" w:color="auto"/>
              <w:left w:val="single" w:sz="4" w:space="0" w:color="auto"/>
              <w:bottom w:val="single" w:sz="4" w:space="0" w:color="auto"/>
              <w:right w:val="single" w:sz="4" w:space="0" w:color="auto"/>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1 888 400 993 </w:t>
            </w:r>
          </w:p>
        </w:tc>
        <w:tc>
          <w:tcPr>
            <w:tcW w:w="1191" w:type="pct"/>
            <w:tcBorders>
              <w:top w:val="single" w:sz="4" w:space="0" w:color="auto"/>
              <w:left w:val="single" w:sz="4" w:space="0" w:color="auto"/>
              <w:bottom w:val="single" w:sz="4" w:space="0" w:color="auto"/>
              <w:right w:val="nil"/>
            </w:tcBorders>
            <w:noWrap/>
          </w:tcPr>
          <w:p w:rsidR="00FD24EA" w:rsidRPr="002B645F" w:rsidRDefault="00116899" w:rsidP="002B645F">
            <w:pPr>
              <w:jc w:val="right"/>
              <w:rPr>
                <w:rFonts w:ascii="Tw Cen MT" w:hAnsi="Tw Cen MT"/>
                <w:color w:val="000000"/>
              </w:rPr>
            </w:pPr>
            <w:r w:rsidRPr="00116899">
              <w:rPr>
                <w:rFonts w:ascii="Tw Cen MT" w:hAnsi="Tw Cen MT"/>
                <w:color w:val="000000"/>
                <w:sz w:val="22"/>
                <w:szCs w:val="22"/>
              </w:rPr>
              <w:t xml:space="preserve">1 056 073 966 </w:t>
            </w:r>
          </w:p>
        </w:tc>
      </w:tr>
    </w:tbl>
    <w:p w:rsidR="00FD24EA" w:rsidRPr="00C265F4" w:rsidRDefault="00FD24EA" w:rsidP="00FD24EA">
      <w:pPr>
        <w:spacing w:after="200"/>
        <w:rPr>
          <w:rFonts w:ascii="Tw Cen MT" w:hAnsi="Tw Cen MT"/>
          <w:b/>
          <w:bCs/>
          <w:sz w:val="22"/>
          <w:szCs w:val="22"/>
          <w:lang w:eastAsia="en-US"/>
        </w:rPr>
      </w:pPr>
    </w:p>
    <w:p w:rsidR="00FD24EA" w:rsidRPr="00C265F4" w:rsidRDefault="00FD24EA" w:rsidP="00FD24EA">
      <w:pPr>
        <w:rPr>
          <w:rFonts w:ascii="Tw Cen MT" w:hAnsi="Tw Cen MT"/>
          <w:lang w:eastAsia="en-US"/>
        </w:rPr>
      </w:pPr>
      <w:r w:rsidRPr="00C265F4">
        <w:rPr>
          <w:rFonts w:ascii="Tw Cen MT" w:hAnsi="Tw Cen MT"/>
          <w:lang w:eastAsia="en-US"/>
        </w:rPr>
        <w:br w:type="page"/>
      </w:r>
    </w:p>
    <w:p w:rsidR="00FD24EA" w:rsidRPr="00C265F4" w:rsidRDefault="00FD24EA" w:rsidP="00FD24EA">
      <w:pPr>
        <w:spacing w:after="200"/>
        <w:rPr>
          <w:rFonts w:ascii="Tw Cen MT" w:hAnsi="Tw Cen MT"/>
          <w:sz w:val="22"/>
          <w:szCs w:val="22"/>
          <w:lang w:eastAsia="en-US"/>
        </w:rPr>
      </w:pPr>
    </w:p>
    <w:p w:rsidR="00FD24EA" w:rsidRPr="00FD24EA" w:rsidRDefault="00116899" w:rsidP="00FD24EA">
      <w:pPr>
        <w:pStyle w:val="Lgende"/>
        <w:keepNext/>
        <w:spacing w:after="100"/>
        <w:rPr>
          <w:b/>
        </w:rPr>
      </w:pPr>
      <w:bookmarkStart w:id="116" w:name="_Toc310152253"/>
      <w:r w:rsidRPr="00116899">
        <w:rPr>
          <w:b/>
          <w:bCs/>
        </w:rPr>
        <w:t xml:space="preserve">Tableau A5. </w:t>
      </w:r>
      <w:r w:rsidRPr="00116899">
        <w:rPr>
          <w:b/>
          <w:color w:val="auto"/>
          <w:lang w:eastAsia="en-US"/>
        </w:rPr>
        <w:t xml:space="preserve">Évolution du nombre de décès évités des enfants de moins de 1 an (cumul des décès) au </w:t>
      </w:r>
      <w:bookmarkEnd w:id="116"/>
      <w:r w:rsidRPr="00116899">
        <w:rPr>
          <w:b/>
          <w:color w:val="auto"/>
          <w:lang w:eastAsia="en-US"/>
        </w:rPr>
        <w:t>Cameroun</w:t>
      </w:r>
    </w:p>
    <w:tbl>
      <w:tblPr>
        <w:tblW w:w="5057" w:type="pct"/>
        <w:tblInd w:w="2" w:type="dxa"/>
        <w:tblCellMar>
          <w:left w:w="70" w:type="dxa"/>
          <w:right w:w="70" w:type="dxa"/>
        </w:tblCellMar>
        <w:tblLook w:val="00A0"/>
      </w:tblPr>
      <w:tblGrid>
        <w:gridCol w:w="3107"/>
        <w:gridCol w:w="3106"/>
        <w:gridCol w:w="3104"/>
      </w:tblGrid>
      <w:tr w:rsidR="00FD24EA" w:rsidRPr="00C265F4" w:rsidTr="00FD24EA">
        <w:trPr>
          <w:trHeight w:val="306"/>
        </w:trPr>
        <w:tc>
          <w:tcPr>
            <w:tcW w:w="1667" w:type="pct"/>
            <w:tcBorders>
              <w:top w:val="double" w:sz="6" w:space="0" w:color="auto"/>
              <w:left w:val="nil"/>
              <w:bottom w:val="double" w:sz="6" w:space="0" w:color="auto"/>
              <w:right w:val="double" w:sz="6" w:space="0" w:color="auto"/>
            </w:tcBorders>
            <w:noWrap/>
            <w:vAlign w:val="center"/>
          </w:tcPr>
          <w:p w:rsidR="00FD24EA" w:rsidRPr="002B645F" w:rsidRDefault="00FD24EA" w:rsidP="00FD24EA">
            <w:pPr>
              <w:spacing w:before="40" w:after="40"/>
              <w:jc w:val="center"/>
              <w:rPr>
                <w:rFonts w:ascii="Tw Cen MT" w:hAnsi="Tw Cen MT" w:cs="Tw Cen MT"/>
                <w:b/>
                <w:bCs/>
              </w:rPr>
            </w:pPr>
            <w:r w:rsidRPr="002B645F">
              <w:rPr>
                <w:rFonts w:ascii="Tw Cen MT" w:hAnsi="Tw Cen MT" w:cs="Tw Cen MT"/>
                <w:b/>
                <w:bCs/>
                <w:sz w:val="22"/>
                <w:szCs w:val="22"/>
              </w:rPr>
              <w:t>Année</w:t>
            </w:r>
          </w:p>
        </w:tc>
        <w:tc>
          <w:tcPr>
            <w:tcW w:w="1667" w:type="pct"/>
            <w:tcBorders>
              <w:top w:val="double" w:sz="6" w:space="0" w:color="auto"/>
              <w:left w:val="nil"/>
              <w:bottom w:val="double" w:sz="6" w:space="0" w:color="auto"/>
              <w:right w:val="double" w:sz="6" w:space="0" w:color="auto"/>
            </w:tcBorders>
            <w:noWrap/>
            <w:vAlign w:val="center"/>
          </w:tcPr>
          <w:p w:rsidR="00FD24EA" w:rsidRPr="002B645F" w:rsidRDefault="00FD24EA" w:rsidP="00FD24EA">
            <w:pPr>
              <w:spacing w:before="40" w:after="40"/>
              <w:jc w:val="center"/>
              <w:rPr>
                <w:rFonts w:ascii="Tw Cen MT" w:hAnsi="Tw Cen MT" w:cs="Tw Cen MT"/>
                <w:b/>
                <w:bCs/>
              </w:rPr>
            </w:pPr>
            <w:proofErr w:type="spellStart"/>
            <w:r w:rsidRPr="002B645F">
              <w:rPr>
                <w:rFonts w:ascii="Tw Cen MT" w:hAnsi="Tw Cen MT" w:cs="Tw Cen MT"/>
                <w:b/>
                <w:bCs/>
                <w:sz w:val="22"/>
                <w:szCs w:val="22"/>
              </w:rPr>
              <w:t>Econ</w:t>
            </w:r>
            <w:proofErr w:type="spellEnd"/>
            <w:r w:rsidRPr="002B645F">
              <w:rPr>
                <w:rFonts w:ascii="Tw Cen MT" w:hAnsi="Tw Cen MT" w:cs="Tw Cen MT"/>
                <w:b/>
                <w:bCs/>
                <w:sz w:val="22"/>
                <w:szCs w:val="22"/>
              </w:rPr>
              <w:t xml:space="preserve"> + Ed</w:t>
            </w:r>
          </w:p>
        </w:tc>
        <w:tc>
          <w:tcPr>
            <w:tcW w:w="1666" w:type="pct"/>
            <w:tcBorders>
              <w:top w:val="double" w:sz="6" w:space="0" w:color="auto"/>
              <w:left w:val="nil"/>
              <w:bottom w:val="double" w:sz="6" w:space="0" w:color="auto"/>
              <w:right w:val="nil"/>
            </w:tcBorders>
            <w:noWrap/>
            <w:vAlign w:val="center"/>
          </w:tcPr>
          <w:p w:rsidR="00FD24EA" w:rsidRPr="002B645F" w:rsidRDefault="00FD24EA" w:rsidP="00FD24EA">
            <w:pPr>
              <w:spacing w:before="40" w:after="40"/>
              <w:jc w:val="center"/>
              <w:rPr>
                <w:rFonts w:ascii="Tw Cen MT" w:hAnsi="Tw Cen MT" w:cs="Tw Cen MT"/>
                <w:b/>
                <w:bCs/>
              </w:rPr>
            </w:pPr>
            <w:proofErr w:type="spellStart"/>
            <w:r w:rsidRPr="002B645F">
              <w:rPr>
                <w:rFonts w:ascii="Tw Cen MT" w:hAnsi="Tw Cen MT" w:cs="Tw Cen MT"/>
                <w:b/>
                <w:bCs/>
                <w:sz w:val="22"/>
                <w:szCs w:val="22"/>
              </w:rPr>
              <w:t>Econ</w:t>
            </w:r>
            <w:proofErr w:type="spellEnd"/>
            <w:r w:rsidRPr="002B645F">
              <w:rPr>
                <w:rFonts w:ascii="Tw Cen MT" w:hAnsi="Tw Cen MT" w:cs="Tw Cen MT"/>
                <w:b/>
                <w:bCs/>
                <w:sz w:val="22"/>
                <w:szCs w:val="22"/>
              </w:rPr>
              <w:t xml:space="preserve"> + Ed + Santé</w:t>
            </w:r>
          </w:p>
        </w:tc>
      </w:tr>
      <w:tr w:rsidR="00FD24EA" w:rsidRPr="00C265F4" w:rsidTr="00FD24EA">
        <w:trPr>
          <w:trHeight w:val="295"/>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2010</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2011</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286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706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2012</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873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2 153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2013</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1 772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4 372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2014</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2 998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7 401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2015</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4 562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11 282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2016</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6 475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16 044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2017</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8 750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21 718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2018</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11 397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28 334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2019</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14 450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35 920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2020</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17 945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44 508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2021</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21 902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54 134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2022</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26 339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64 837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2023</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31 270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76 641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2024</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36 709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89 572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2025</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42 671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103 658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2026</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49 187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118 963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2027</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56 295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135 567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2028</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64 024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153 529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2029</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72 403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172 912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2030</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81 463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193 776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2031</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91 253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216 214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2032</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101 835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240 339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2033</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113 272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266 251 </w:t>
            </w:r>
          </w:p>
        </w:tc>
      </w:tr>
      <w:tr w:rsidR="00FD24EA" w:rsidRPr="00C265F4" w:rsidTr="00FD24EA">
        <w:trPr>
          <w:trHeight w:val="279"/>
        </w:trPr>
        <w:tc>
          <w:tcPr>
            <w:tcW w:w="1667"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2034</w:t>
            </w:r>
          </w:p>
        </w:tc>
        <w:tc>
          <w:tcPr>
            <w:tcW w:w="1667" w:type="pct"/>
            <w:tcBorders>
              <w:top w:val="nil"/>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125 635 </w:t>
            </w:r>
          </w:p>
        </w:tc>
        <w:tc>
          <w:tcPr>
            <w:tcW w:w="1666" w:type="pct"/>
            <w:tcBorders>
              <w:top w:val="nil"/>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294 053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2035</w:t>
            </w:r>
          </w:p>
        </w:tc>
        <w:tc>
          <w:tcPr>
            <w:tcW w:w="1667" w:type="pct"/>
            <w:tcBorders>
              <w:top w:val="single" w:sz="4" w:space="0" w:color="auto"/>
              <w:left w:val="nil"/>
              <w:bottom w:val="single" w:sz="4" w:space="0" w:color="auto"/>
              <w:right w:val="single" w:sz="4" w:space="0" w:color="auto"/>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138 989 </w:t>
            </w:r>
          </w:p>
        </w:tc>
        <w:tc>
          <w:tcPr>
            <w:tcW w:w="1666" w:type="pct"/>
            <w:tcBorders>
              <w:top w:val="single" w:sz="4" w:space="0" w:color="auto"/>
              <w:left w:val="nil"/>
              <w:bottom w:val="single" w:sz="4" w:space="0" w:color="auto"/>
              <w:right w:val="nil"/>
            </w:tcBorders>
            <w:noWrap/>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323 848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2036</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153 395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355 738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2037</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168 929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389 846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2038</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185 683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426 308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2039</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203 758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465 266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2040</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223 248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506 859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2041</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244 224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551 190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2042</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266 757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598 358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2043</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290 938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648 495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2044</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316 867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701 734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2045</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344 641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758 212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2046</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374 330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818 028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2047</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406 002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881 278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2048</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439 736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948 095 </w:t>
            </w:r>
          </w:p>
        </w:tc>
      </w:tr>
      <w:tr w:rsidR="00FD24EA" w:rsidRPr="00C265F4" w:rsidTr="00FD24EA">
        <w:trPr>
          <w:trHeight w:val="279"/>
        </w:trPr>
        <w:tc>
          <w:tcPr>
            <w:tcW w:w="1667"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2049</w:t>
            </w:r>
          </w:p>
        </w:tc>
        <w:tc>
          <w:tcPr>
            <w:tcW w:w="1667" w:type="pct"/>
            <w:tcBorders>
              <w:top w:val="single" w:sz="4" w:space="0" w:color="auto"/>
              <w:left w:val="nil"/>
              <w:bottom w:val="single" w:sz="4" w:space="0" w:color="auto"/>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475 612 </w:t>
            </w:r>
          </w:p>
        </w:tc>
        <w:tc>
          <w:tcPr>
            <w:tcW w:w="1666" w:type="pct"/>
            <w:tcBorders>
              <w:top w:val="single" w:sz="4" w:space="0" w:color="auto"/>
              <w:left w:val="nil"/>
              <w:bottom w:val="single" w:sz="4" w:space="0" w:color="auto"/>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1 018 618 </w:t>
            </w:r>
          </w:p>
        </w:tc>
      </w:tr>
      <w:tr w:rsidR="00FD24EA" w:rsidRPr="00C265F4" w:rsidTr="00FD24EA">
        <w:trPr>
          <w:trHeight w:val="279"/>
        </w:trPr>
        <w:tc>
          <w:tcPr>
            <w:tcW w:w="1667" w:type="pct"/>
            <w:tcBorders>
              <w:top w:val="single" w:sz="4" w:space="0" w:color="auto"/>
              <w:left w:val="nil"/>
              <w:bottom w:val="nil"/>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2050</w:t>
            </w:r>
          </w:p>
        </w:tc>
        <w:tc>
          <w:tcPr>
            <w:tcW w:w="1667" w:type="pct"/>
            <w:tcBorders>
              <w:top w:val="single" w:sz="4" w:space="0" w:color="auto"/>
              <w:left w:val="nil"/>
              <w:bottom w:val="nil"/>
              <w:right w:val="single" w:sz="4" w:space="0" w:color="auto"/>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513 611 </w:t>
            </w:r>
          </w:p>
        </w:tc>
        <w:tc>
          <w:tcPr>
            <w:tcW w:w="1666" w:type="pct"/>
            <w:tcBorders>
              <w:top w:val="single" w:sz="4" w:space="0" w:color="auto"/>
              <w:left w:val="nil"/>
              <w:bottom w:val="nil"/>
              <w:right w:val="nil"/>
            </w:tcBorders>
            <w:noWrap/>
            <w:vAlign w:val="bottom"/>
          </w:tcPr>
          <w:p w:rsidR="00FD24EA" w:rsidRPr="002B645F" w:rsidRDefault="00116899" w:rsidP="002B645F">
            <w:pPr>
              <w:jc w:val="right"/>
              <w:rPr>
                <w:rFonts w:ascii="Tw Cen MT" w:hAnsi="Tw Cen MT" w:cs="Tw Cen MT"/>
              </w:rPr>
            </w:pPr>
            <w:r w:rsidRPr="00116899">
              <w:rPr>
                <w:rFonts w:ascii="Tw Cen MT" w:hAnsi="Tw Cen MT" w:cs="Tw Cen MT"/>
                <w:sz w:val="22"/>
                <w:szCs w:val="22"/>
              </w:rPr>
              <w:t xml:space="preserve"> 1 092 948 </w:t>
            </w:r>
          </w:p>
        </w:tc>
      </w:tr>
    </w:tbl>
    <w:p w:rsidR="00A703E6" w:rsidRDefault="00FD24EA">
      <w:pPr>
        <w:spacing w:after="200"/>
        <w:jc w:val="right"/>
        <w:rPr>
          <w:rFonts w:ascii="Tw Cen MT" w:hAnsi="Tw Cen MT"/>
          <w:sz w:val="22"/>
          <w:szCs w:val="22"/>
          <w:lang w:eastAsia="en-US"/>
        </w:rPr>
      </w:pPr>
      <w:r>
        <w:rPr>
          <w:rFonts w:ascii="Tw Cen MT" w:hAnsi="Tw Cen MT"/>
          <w:sz w:val="22"/>
          <w:szCs w:val="22"/>
          <w:lang w:eastAsia="en-US"/>
        </w:rPr>
        <w:br w:type="page"/>
      </w:r>
    </w:p>
    <w:p w:rsidR="00FD24EA" w:rsidRPr="00FD24EA" w:rsidRDefault="00116899" w:rsidP="00FD24EA">
      <w:pPr>
        <w:pStyle w:val="Lgende"/>
        <w:keepNext/>
        <w:spacing w:after="100"/>
        <w:rPr>
          <w:b/>
          <w:bCs/>
        </w:rPr>
      </w:pPr>
      <w:bookmarkStart w:id="117" w:name="_Toc310152254"/>
      <w:r w:rsidRPr="00116899">
        <w:rPr>
          <w:b/>
          <w:bCs/>
        </w:rPr>
        <w:lastRenderedPageBreak/>
        <w:t>Tableau A6</w:t>
      </w:r>
      <w:r w:rsidR="00FD24EA">
        <w:rPr>
          <w:b/>
          <w:bCs/>
        </w:rPr>
        <w:t>.</w:t>
      </w:r>
      <w:r w:rsidRPr="00116899">
        <w:rPr>
          <w:b/>
          <w:color w:val="auto"/>
          <w:lang w:eastAsia="en-US"/>
        </w:rPr>
        <w:t xml:space="preserve">Évolution du nombre de décès évités des enfants de moins de 5 ans (cumul des décès) au </w:t>
      </w:r>
      <w:bookmarkEnd w:id="117"/>
      <w:r w:rsidRPr="00116899">
        <w:rPr>
          <w:b/>
          <w:color w:val="auto"/>
          <w:lang w:eastAsia="en-US"/>
        </w:rPr>
        <w:t>Cameroun</w:t>
      </w:r>
    </w:p>
    <w:tbl>
      <w:tblPr>
        <w:tblW w:w="5024" w:type="pct"/>
        <w:tblInd w:w="2" w:type="dxa"/>
        <w:tblCellMar>
          <w:left w:w="70" w:type="dxa"/>
          <w:right w:w="70" w:type="dxa"/>
        </w:tblCellMar>
        <w:tblLook w:val="00A0"/>
      </w:tblPr>
      <w:tblGrid>
        <w:gridCol w:w="2536"/>
        <w:gridCol w:w="3027"/>
        <w:gridCol w:w="3693"/>
      </w:tblGrid>
      <w:tr w:rsidR="00FD24EA" w:rsidRPr="00B63B22" w:rsidTr="00FD24EA">
        <w:trPr>
          <w:trHeight w:val="166"/>
        </w:trPr>
        <w:tc>
          <w:tcPr>
            <w:tcW w:w="1370"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1635"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995" w:type="pct"/>
            <w:tcBorders>
              <w:top w:val="double" w:sz="6" w:space="0" w:color="auto"/>
              <w:left w:val="nil"/>
              <w:bottom w:val="double" w:sz="6" w:space="0" w:color="auto"/>
              <w:right w:val="nil"/>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134"/>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2010</w:t>
            </w:r>
          </w:p>
        </w:tc>
        <w:tc>
          <w:tcPr>
            <w:tcW w:w="1635" w:type="pct"/>
            <w:tcBorders>
              <w:top w:val="nil"/>
              <w:left w:val="single" w:sz="4" w:space="0" w:color="auto"/>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   </w:t>
            </w:r>
          </w:p>
        </w:tc>
        <w:tc>
          <w:tcPr>
            <w:tcW w:w="1995" w:type="pct"/>
            <w:tcBorders>
              <w:top w:val="nil"/>
              <w:left w:val="single" w:sz="4" w:space="0" w:color="auto"/>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2011</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401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989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2012</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1 230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3 038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2013</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2 521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6 224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2014</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4 309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10 657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2015</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6 631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16 448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2016</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9 503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23 637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2017</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12 944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32 271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2018</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16 972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42 393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2019</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21 671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54 044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2020</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27 103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67 270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2021</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33 299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82 125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2022</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40 284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98 662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2023</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48 067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116 926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2024</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56 658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136 959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2025</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66 079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158 807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2026</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76 370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182 547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2027</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87 579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208 279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2028</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99 746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236 086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2029</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112 916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266 061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2030</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127 138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298 295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2031</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142 475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332 912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2032</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159 008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370 056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2033</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176 821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409 866 </w:t>
            </w:r>
          </w:p>
        </w:tc>
      </w:tr>
      <w:tr w:rsidR="00FD24EA" w:rsidRPr="00B63B22" w:rsidTr="00FD24EA">
        <w:trPr>
          <w:trHeight w:val="128"/>
        </w:trPr>
        <w:tc>
          <w:tcPr>
            <w:tcW w:w="137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2034</w:t>
            </w:r>
          </w:p>
        </w:tc>
        <w:tc>
          <w:tcPr>
            <w:tcW w:w="1635"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196 010 </w:t>
            </w:r>
          </w:p>
        </w:tc>
        <w:tc>
          <w:tcPr>
            <w:tcW w:w="1995"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452 487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2035</w:t>
            </w:r>
          </w:p>
        </w:tc>
        <w:tc>
          <w:tcPr>
            <w:tcW w:w="1635"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216 667 </w:t>
            </w:r>
          </w:p>
        </w:tc>
        <w:tc>
          <w:tcPr>
            <w:tcW w:w="1995"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498 065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2036</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238 879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546 748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2037</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262 748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598 697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2038</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288 391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654 090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2039</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315 943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713 116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2040</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345 532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775 968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2041</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377 268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842 808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2042</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411 261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913 789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2043</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447 637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989 093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2044</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486 530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1 068 899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2045</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528 068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1 153 389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2046</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572 358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1 242 710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2047</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619 501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1 337 010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2048</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669 614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1 436 467 </w:t>
            </w:r>
          </w:p>
        </w:tc>
      </w:tr>
      <w:tr w:rsidR="00FD24EA" w:rsidRPr="00B63B22" w:rsidTr="00FD24EA">
        <w:trPr>
          <w:trHeight w:val="128"/>
        </w:trPr>
        <w:tc>
          <w:tcPr>
            <w:tcW w:w="1370" w:type="pct"/>
            <w:tcBorders>
              <w:top w:val="single" w:sz="4" w:space="0" w:color="auto"/>
              <w:left w:val="nil"/>
              <w:bottom w:val="single" w:sz="4" w:space="0" w:color="auto"/>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2049</w:t>
            </w:r>
          </w:p>
        </w:tc>
        <w:tc>
          <w:tcPr>
            <w:tcW w:w="1635" w:type="pct"/>
            <w:tcBorders>
              <w:top w:val="single" w:sz="4" w:space="0" w:color="auto"/>
              <w:left w:val="nil"/>
              <w:bottom w:val="single" w:sz="4" w:space="0" w:color="auto"/>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722 808 </w:t>
            </w:r>
          </w:p>
        </w:tc>
        <w:tc>
          <w:tcPr>
            <w:tcW w:w="1995" w:type="pct"/>
            <w:tcBorders>
              <w:top w:val="single" w:sz="4" w:space="0" w:color="auto"/>
              <w:left w:val="nil"/>
              <w:bottom w:val="single" w:sz="4" w:space="0" w:color="auto"/>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1 541 269 </w:t>
            </w:r>
          </w:p>
        </w:tc>
      </w:tr>
      <w:tr w:rsidR="00FD24EA" w:rsidRPr="00B63B22" w:rsidTr="00FD24EA">
        <w:trPr>
          <w:trHeight w:val="128"/>
        </w:trPr>
        <w:tc>
          <w:tcPr>
            <w:tcW w:w="1370" w:type="pct"/>
            <w:tcBorders>
              <w:top w:val="single" w:sz="4" w:space="0" w:color="auto"/>
              <w:left w:val="nil"/>
              <w:bottom w:val="nil"/>
              <w:right w:val="single" w:sz="4" w:space="0" w:color="auto"/>
            </w:tcBorders>
            <w:shd w:val="clear" w:color="auto" w:fill="auto"/>
            <w:noWrap/>
          </w:tcPr>
          <w:p w:rsidR="00A703E6" w:rsidRDefault="00116899">
            <w:pPr>
              <w:jc w:val="right"/>
              <w:rPr>
                <w:rFonts w:ascii="Tw Cen MT" w:hAnsi="Tw Cen MT" w:cs="Tw Cen MT"/>
              </w:rPr>
            </w:pPr>
            <w:r w:rsidRPr="00116899">
              <w:rPr>
                <w:rFonts w:ascii="Tw Cen MT" w:hAnsi="Tw Cen MT" w:cs="Tw Cen MT"/>
                <w:sz w:val="22"/>
                <w:szCs w:val="22"/>
              </w:rPr>
              <w:t>2050</w:t>
            </w:r>
          </w:p>
        </w:tc>
        <w:tc>
          <w:tcPr>
            <w:tcW w:w="1635" w:type="pct"/>
            <w:tcBorders>
              <w:top w:val="single" w:sz="4" w:space="0" w:color="auto"/>
              <w:left w:val="nil"/>
              <w:bottom w:val="nil"/>
              <w:right w:val="single" w:sz="4" w:space="0" w:color="auto"/>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779 097 </w:t>
            </w:r>
          </w:p>
        </w:tc>
        <w:tc>
          <w:tcPr>
            <w:tcW w:w="1995" w:type="pct"/>
            <w:tcBorders>
              <w:top w:val="single" w:sz="4" w:space="0" w:color="auto"/>
              <w:left w:val="nil"/>
              <w:bottom w:val="nil"/>
              <w:right w:val="nil"/>
            </w:tcBorders>
            <w:shd w:val="clear" w:color="auto" w:fill="auto"/>
            <w:noWrap/>
            <w:vAlign w:val="bottom"/>
          </w:tcPr>
          <w:p w:rsidR="00FD24EA" w:rsidRPr="00B63B22" w:rsidRDefault="00116899" w:rsidP="00B63B22">
            <w:pPr>
              <w:jc w:val="right"/>
              <w:rPr>
                <w:rFonts w:ascii="Tw Cen MT" w:hAnsi="Tw Cen MT" w:cs="Tw Cen MT"/>
              </w:rPr>
            </w:pPr>
            <w:r w:rsidRPr="00116899">
              <w:rPr>
                <w:rFonts w:ascii="Tw Cen MT" w:hAnsi="Tw Cen MT" w:cs="Tw Cen MT"/>
                <w:sz w:val="22"/>
                <w:szCs w:val="22"/>
              </w:rPr>
              <w:t xml:space="preserve"> 1 651 724 </w:t>
            </w:r>
          </w:p>
        </w:tc>
      </w:tr>
    </w:tbl>
    <w:p w:rsidR="00FD24EA" w:rsidRDefault="00FD24EA" w:rsidP="00FD24EA">
      <w:pPr>
        <w:spacing w:after="200"/>
        <w:rPr>
          <w:rFonts w:ascii="Tw Cen MT" w:hAnsi="Tw Cen MT"/>
          <w:b/>
          <w:bCs/>
          <w:sz w:val="22"/>
          <w:szCs w:val="22"/>
          <w:lang w:eastAsia="en-US"/>
        </w:rPr>
      </w:pPr>
    </w:p>
    <w:p w:rsidR="00FD24EA" w:rsidRDefault="00FD24EA" w:rsidP="00FD24EA">
      <w:pPr>
        <w:rPr>
          <w:rFonts w:ascii="Tw Cen MT" w:hAnsi="Tw Cen MT"/>
          <w:b/>
          <w:bCs/>
          <w:sz w:val="22"/>
          <w:szCs w:val="22"/>
          <w:lang w:eastAsia="en-US"/>
        </w:rPr>
      </w:pPr>
      <w:r>
        <w:rPr>
          <w:rFonts w:ascii="Tw Cen MT" w:hAnsi="Tw Cen MT"/>
          <w:b/>
          <w:bCs/>
          <w:sz w:val="22"/>
          <w:szCs w:val="22"/>
          <w:lang w:eastAsia="en-US"/>
        </w:rPr>
        <w:br w:type="page"/>
      </w:r>
    </w:p>
    <w:p w:rsidR="00FD24EA" w:rsidRPr="00FD24EA" w:rsidRDefault="00116899" w:rsidP="00FD24EA">
      <w:pPr>
        <w:pStyle w:val="Lgende"/>
        <w:keepNext/>
        <w:spacing w:after="100"/>
        <w:rPr>
          <w:b/>
        </w:rPr>
      </w:pPr>
      <w:bookmarkStart w:id="118" w:name="_Toc310152255"/>
      <w:r w:rsidRPr="00116899">
        <w:rPr>
          <w:b/>
          <w:bCs/>
        </w:rPr>
        <w:lastRenderedPageBreak/>
        <w:t xml:space="preserve">Tableau A7. </w:t>
      </w:r>
      <w:r w:rsidRPr="00116899">
        <w:rPr>
          <w:b/>
          <w:color w:val="auto"/>
          <w:lang w:eastAsia="en-US"/>
        </w:rPr>
        <w:t xml:space="preserve">Évolution du nombre de décès maternels évités (cumul des décès) au </w:t>
      </w:r>
      <w:bookmarkEnd w:id="118"/>
      <w:r w:rsidRPr="00116899">
        <w:rPr>
          <w:b/>
          <w:color w:val="auto"/>
          <w:lang w:eastAsia="en-US"/>
        </w:rPr>
        <w:t>Cameroun</w:t>
      </w:r>
    </w:p>
    <w:tbl>
      <w:tblPr>
        <w:tblW w:w="5000" w:type="pct"/>
        <w:tblInd w:w="2" w:type="dxa"/>
        <w:tblCellMar>
          <w:left w:w="70" w:type="dxa"/>
          <w:right w:w="70" w:type="dxa"/>
        </w:tblCellMar>
        <w:tblLook w:val="00A0"/>
      </w:tblPr>
      <w:tblGrid>
        <w:gridCol w:w="2620"/>
        <w:gridCol w:w="2968"/>
        <w:gridCol w:w="3624"/>
      </w:tblGrid>
      <w:tr w:rsidR="00FD24EA" w:rsidRPr="00B63B22" w:rsidTr="00FD24EA">
        <w:trPr>
          <w:trHeight w:val="361"/>
        </w:trPr>
        <w:tc>
          <w:tcPr>
            <w:tcW w:w="1422"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1611"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967" w:type="pct"/>
            <w:tcBorders>
              <w:top w:val="double" w:sz="6" w:space="0" w:color="auto"/>
              <w:left w:val="double" w:sz="6" w:space="0" w:color="auto"/>
              <w:bottom w:val="double" w:sz="6" w:space="0" w:color="auto"/>
              <w:right w:val="nil"/>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344"/>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2010</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0</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0</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2015</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782</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24 071</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2020</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3 050</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29 543</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2025</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7 139</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39 031</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2030</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13 412</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53 110</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2035</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22 480</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72 820</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2040</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35 339</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99 640</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2045</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53 258</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135 297</w:t>
            </w:r>
          </w:p>
        </w:tc>
      </w:tr>
      <w:tr w:rsidR="00FD24EA" w:rsidRPr="00B63B22" w:rsidTr="00FD24EA">
        <w:trPr>
          <w:trHeight w:val="328"/>
        </w:trPr>
        <w:tc>
          <w:tcPr>
            <w:tcW w:w="1422" w:type="pct"/>
            <w:tcBorders>
              <w:top w:val="nil"/>
              <w:left w:val="nil"/>
              <w:bottom w:val="single" w:sz="4" w:space="0" w:color="auto"/>
              <w:right w:val="single" w:sz="4" w:space="0" w:color="auto"/>
            </w:tcBorders>
            <w:noWrap/>
            <w:vAlign w:val="center"/>
          </w:tcPr>
          <w:p w:rsidR="00A703E6" w:rsidRDefault="00FD24EA">
            <w:pPr>
              <w:jc w:val="right"/>
              <w:rPr>
                <w:rFonts w:ascii="Tw Cen MT" w:hAnsi="Tw Cen MT" w:cs="Tw Cen MT"/>
              </w:rPr>
            </w:pPr>
            <w:r w:rsidRPr="00B63B22">
              <w:rPr>
                <w:rFonts w:ascii="Tw Cen MT" w:hAnsi="Tw Cen MT" w:cs="Tw Cen MT"/>
                <w:sz w:val="22"/>
                <w:szCs w:val="22"/>
              </w:rPr>
              <w:t>2050</w:t>
            </w:r>
          </w:p>
        </w:tc>
        <w:tc>
          <w:tcPr>
            <w:tcW w:w="1611"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77 501</w:t>
            </w:r>
          </w:p>
        </w:tc>
        <w:tc>
          <w:tcPr>
            <w:tcW w:w="1967" w:type="pct"/>
            <w:tcBorders>
              <w:top w:val="nil"/>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181 442</w:t>
            </w:r>
          </w:p>
        </w:tc>
      </w:tr>
    </w:tbl>
    <w:p w:rsidR="00FD24EA" w:rsidRPr="00C265F4" w:rsidRDefault="00FD24EA" w:rsidP="00FD24EA">
      <w:pPr>
        <w:rPr>
          <w:rFonts w:ascii="Tw Cen MT" w:hAnsi="Tw Cen MT"/>
          <w:b/>
          <w:bCs/>
          <w:sz w:val="22"/>
          <w:szCs w:val="22"/>
          <w:lang w:eastAsia="en-US"/>
        </w:rPr>
      </w:pPr>
    </w:p>
    <w:p w:rsidR="00FD24EA" w:rsidRPr="00FD24EA" w:rsidRDefault="00116899" w:rsidP="00FD24EA">
      <w:pPr>
        <w:pStyle w:val="Lgende"/>
        <w:keepNext/>
        <w:spacing w:after="100"/>
        <w:rPr>
          <w:b/>
        </w:rPr>
      </w:pPr>
      <w:bookmarkStart w:id="119" w:name="_Toc310152256"/>
      <w:r w:rsidRPr="00116899">
        <w:rPr>
          <w:b/>
          <w:bCs/>
        </w:rPr>
        <w:t xml:space="preserve">Tableau A8. </w:t>
      </w:r>
      <w:r w:rsidRPr="00116899">
        <w:rPr>
          <w:b/>
          <w:color w:val="auto"/>
          <w:lang w:eastAsia="en-US"/>
        </w:rPr>
        <w:t xml:space="preserve">Évolution du nombre de nouveaux emplois nécessaires au </w:t>
      </w:r>
      <w:bookmarkEnd w:id="119"/>
      <w:r w:rsidRPr="00116899">
        <w:rPr>
          <w:b/>
          <w:color w:val="auto"/>
          <w:lang w:eastAsia="en-US"/>
        </w:rPr>
        <w:t>Cameroun</w:t>
      </w:r>
    </w:p>
    <w:tbl>
      <w:tblPr>
        <w:tblW w:w="5000" w:type="pct"/>
        <w:tblInd w:w="2" w:type="dxa"/>
        <w:tblCellMar>
          <w:left w:w="70" w:type="dxa"/>
          <w:right w:w="70" w:type="dxa"/>
        </w:tblCellMar>
        <w:tblLook w:val="00A0"/>
      </w:tblPr>
      <w:tblGrid>
        <w:gridCol w:w="736"/>
        <w:gridCol w:w="2265"/>
        <w:gridCol w:w="2265"/>
        <w:gridCol w:w="1901"/>
        <w:gridCol w:w="2143"/>
      </w:tblGrid>
      <w:tr w:rsidR="00FD24EA" w:rsidRPr="00B63B22" w:rsidTr="00FD24EA">
        <w:trPr>
          <w:trHeight w:val="508"/>
        </w:trPr>
        <w:tc>
          <w:tcPr>
            <w:tcW w:w="892"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109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Base</w:t>
            </w:r>
          </w:p>
        </w:tc>
        <w:tc>
          <w:tcPr>
            <w:tcW w:w="109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p>
        </w:tc>
        <w:tc>
          <w:tcPr>
            <w:tcW w:w="925"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002" w:type="pct"/>
            <w:tcBorders>
              <w:top w:val="double" w:sz="6" w:space="0" w:color="auto"/>
              <w:left w:val="double" w:sz="6" w:space="0" w:color="auto"/>
              <w:bottom w:val="double" w:sz="6" w:space="0" w:color="auto"/>
              <w:right w:val="nil"/>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334"/>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2010</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8 334 810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8 334 810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8 334 810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8 334 810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2011</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8 601 523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8 601 424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8 601 424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8 601 424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2012</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8 840 260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8 902 023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8 927 405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8 929 202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2013</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9 069 656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9 231 812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9 290 107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9 294 292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2014</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9 298 995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9 592 914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9 686 571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9 691 449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2015</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9 533 349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9 989 882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10 120 235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10 124 989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2016</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9 775 568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10 427 942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10 596 332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10 600 378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2017</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10 027 020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10 912 088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11 120 162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11 122 955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2018</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10 288 099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11 447 010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11 696 816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11 697 786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2019</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10 558 761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12 037 572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12 324 119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12 330 155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2020</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10 838 992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12 689 404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13 012 522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13 026 195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2021</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11 146 396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13 452 222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13 816 185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13 839 362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2022</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11 462 566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14 279 263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14 684 825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14 719 338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2023</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11 779 459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15 161 852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15 609 557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15 657 454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2024</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12 093 508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16 099 325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16 589 756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16 653 425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2025</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12 403 433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17 092 801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17 133 396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17 156 690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2026</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12 733 096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17 698 002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17 628 673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17 656 488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2027</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13 079 215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18 225 847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18 139 502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18 169 152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2028</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13 440 705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18 772 043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18 665 279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18 693 279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2029</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13 817 091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19 336 353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19 205 508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19 228 250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2030</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14 208 164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19 918 569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19 759 714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19 774 378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2031</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14 613 811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20 518 469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20 327 258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20 331 215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2032</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15 033 936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21 135 799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20 906 960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20 898 301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2033</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15 468 411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21 770 256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21 496 786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21 475 178 </w:t>
            </w:r>
          </w:p>
        </w:tc>
      </w:tr>
      <w:tr w:rsidR="00FD24EA" w:rsidRPr="00B63B22" w:rsidTr="00FD24EA">
        <w:trPr>
          <w:trHeight w:val="317"/>
        </w:trPr>
        <w:tc>
          <w:tcPr>
            <w:tcW w:w="892"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2034</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15 917 118 </w:t>
            </w:r>
          </w:p>
        </w:tc>
        <w:tc>
          <w:tcPr>
            <w:tcW w:w="1090"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22 421 636 </w:t>
            </w:r>
          </w:p>
        </w:tc>
        <w:tc>
          <w:tcPr>
            <w:tcW w:w="925" w:type="pct"/>
            <w:tcBorders>
              <w:top w:val="nil"/>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22 095 876 </w:t>
            </w:r>
          </w:p>
        </w:tc>
        <w:tc>
          <w:tcPr>
            <w:tcW w:w="1002" w:type="pct"/>
            <w:tcBorders>
              <w:top w:val="nil"/>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22 061 348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vAlign w:val="bottom"/>
          </w:tcPr>
          <w:p w:rsidR="00A703E6" w:rsidRDefault="00116899">
            <w:pPr>
              <w:jc w:val="right"/>
              <w:rPr>
                <w:rFonts w:ascii="Tw Cen MT" w:hAnsi="Tw Cen MT" w:cs="Tw Cen MT"/>
              </w:rPr>
            </w:pPr>
            <w:r w:rsidRPr="00116899">
              <w:rPr>
                <w:rFonts w:ascii="Tw Cen MT" w:hAnsi="Tw Cen MT" w:cs="Tw Cen MT"/>
                <w:sz w:val="22"/>
                <w:szCs w:val="22"/>
              </w:rPr>
              <w:lastRenderedPageBreak/>
              <w:t>2035</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16 379 995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23 089 866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22 706 305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22 656 325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2036</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16 857 380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23 775 701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23 328 423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23 260 365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2037</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17 349 639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24 479 625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23 962 316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23 873 462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2038</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17 856 698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25 201 177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24 607 380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24 494 899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2039</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18 378 323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25 939 931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25 263 182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25 124 153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2040</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18 914 270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26 695 617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25 929 265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25 760 764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2041</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19 465 196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27 469 865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26 606 893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26 405 837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2042</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20 032 173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28 264 494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27 297 420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27 060 476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2043</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20 615 776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29 079 919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28 001 014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27 724 500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2044</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21 216 430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29 916 602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28 717 786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28 397 638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2045</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21 834 339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30 774 676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29 447 346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29 079 309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2046</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22 470 353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31 655 766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30 190 617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29 770 133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2047</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23 125 726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32 561 842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30 948 769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30 470 899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2048</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23 801 375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33 493 837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31 722 476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31 181 832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2049</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24 498 166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34 452 776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32 512 246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31 903 020 </w:t>
            </w:r>
          </w:p>
        </w:tc>
      </w:tr>
      <w:tr w:rsidR="00FD24EA" w:rsidRPr="00B63B22" w:rsidTr="00FD24EA">
        <w:trPr>
          <w:trHeight w:val="317"/>
        </w:trPr>
        <w:tc>
          <w:tcPr>
            <w:tcW w:w="892"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2050</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25 244 316 </w:t>
            </w:r>
          </w:p>
        </w:tc>
        <w:tc>
          <w:tcPr>
            <w:tcW w:w="109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35 495 265 </w:t>
            </w:r>
          </w:p>
        </w:tc>
        <w:tc>
          <w:tcPr>
            <w:tcW w:w="925"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33 425 183 </w:t>
            </w:r>
          </w:p>
        </w:tc>
        <w:tc>
          <w:tcPr>
            <w:tcW w:w="1002" w:type="pct"/>
            <w:tcBorders>
              <w:top w:val="single" w:sz="4" w:space="0" w:color="auto"/>
              <w:left w:val="nil"/>
              <w:bottom w:val="single" w:sz="4" w:space="0" w:color="auto"/>
              <w:right w:val="nil"/>
            </w:tcBorders>
            <w:noWrap/>
          </w:tcPr>
          <w:p w:rsidR="00A703E6" w:rsidRDefault="00116899">
            <w:pPr>
              <w:jc w:val="right"/>
              <w:rPr>
                <w:rFonts w:ascii="Tw Cen MT" w:hAnsi="Tw Cen MT"/>
                <w:color w:val="000000"/>
              </w:rPr>
            </w:pPr>
            <w:r w:rsidRPr="00116899">
              <w:rPr>
                <w:rFonts w:ascii="Tw Cen MT" w:hAnsi="Tw Cen MT"/>
                <w:color w:val="000000"/>
                <w:sz w:val="22"/>
                <w:szCs w:val="22"/>
              </w:rPr>
              <w:t xml:space="preserve">               32 696 586 </w:t>
            </w:r>
          </w:p>
        </w:tc>
      </w:tr>
    </w:tbl>
    <w:p w:rsidR="00FD24EA" w:rsidRDefault="00FD24EA" w:rsidP="00FD24EA">
      <w:pPr>
        <w:spacing w:after="200"/>
        <w:rPr>
          <w:rFonts w:ascii="Tw Cen MT" w:hAnsi="Tw Cen MT"/>
          <w:b/>
          <w:bCs/>
          <w:sz w:val="22"/>
          <w:szCs w:val="22"/>
          <w:lang w:eastAsia="en-US"/>
        </w:rPr>
      </w:pPr>
      <w:r>
        <w:rPr>
          <w:rFonts w:ascii="Tw Cen MT" w:hAnsi="Tw Cen MT"/>
          <w:b/>
          <w:bCs/>
          <w:sz w:val="22"/>
          <w:szCs w:val="22"/>
          <w:lang w:eastAsia="en-US"/>
        </w:rPr>
        <w:br w:type="page"/>
      </w:r>
    </w:p>
    <w:p w:rsidR="00FD24EA" w:rsidRPr="00FD24EA" w:rsidRDefault="00116899" w:rsidP="00FD24EA">
      <w:pPr>
        <w:pStyle w:val="Lgende"/>
        <w:keepNext/>
        <w:spacing w:after="100"/>
        <w:rPr>
          <w:b/>
        </w:rPr>
      </w:pPr>
      <w:bookmarkStart w:id="120" w:name="_Toc310152257"/>
      <w:r w:rsidRPr="00116899">
        <w:rPr>
          <w:b/>
          <w:bCs/>
        </w:rPr>
        <w:lastRenderedPageBreak/>
        <w:t xml:space="preserve">Tableau A9. </w:t>
      </w:r>
      <w:r w:rsidR="00B62C99">
        <w:rPr>
          <w:b/>
          <w:color w:val="auto"/>
          <w:lang w:eastAsia="en-US"/>
        </w:rPr>
        <w:t>É</w:t>
      </w:r>
      <w:r w:rsidRPr="00116899">
        <w:rPr>
          <w:b/>
          <w:color w:val="auto"/>
          <w:lang w:eastAsia="en-US"/>
        </w:rPr>
        <w:t>volution de l’espérance de vie à la naissance des femmes au</w:t>
      </w:r>
      <w:bookmarkEnd w:id="120"/>
      <w:r w:rsidRPr="00116899">
        <w:rPr>
          <w:b/>
          <w:color w:val="auto"/>
          <w:lang w:eastAsia="en-US"/>
        </w:rPr>
        <w:t xml:space="preserve"> Cameroun</w:t>
      </w:r>
    </w:p>
    <w:tbl>
      <w:tblPr>
        <w:tblW w:w="5057" w:type="pct"/>
        <w:tblInd w:w="2" w:type="dxa"/>
        <w:tblCellMar>
          <w:left w:w="70" w:type="dxa"/>
          <w:right w:w="70" w:type="dxa"/>
        </w:tblCellMar>
        <w:tblLook w:val="00A0"/>
      </w:tblPr>
      <w:tblGrid>
        <w:gridCol w:w="1864"/>
        <w:gridCol w:w="1864"/>
        <w:gridCol w:w="1863"/>
        <w:gridCol w:w="1863"/>
        <w:gridCol w:w="1863"/>
      </w:tblGrid>
      <w:tr w:rsidR="00FD24EA" w:rsidRPr="00B63B22" w:rsidTr="00FD24EA">
        <w:trPr>
          <w:trHeight w:val="575"/>
        </w:trPr>
        <w:tc>
          <w:tcPr>
            <w:tcW w:w="1000"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Base</w:t>
            </w:r>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000" w:type="pct"/>
            <w:tcBorders>
              <w:top w:val="double" w:sz="6" w:space="0" w:color="auto"/>
              <w:left w:val="double" w:sz="6" w:space="0" w:color="auto"/>
              <w:bottom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298"/>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2010</w:t>
            </w:r>
          </w:p>
        </w:tc>
        <w:tc>
          <w:tcPr>
            <w:tcW w:w="1000"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59,86</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2011</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58,71</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60,01</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2012</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58,77</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60,16</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2013</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58,83</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60,32</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2014</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58,89</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60,47</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58,95</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60,63</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2016</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59,00</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60,78</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59,06</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60,94</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2018</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59,12</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61,10</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2019</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59,18</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61,26</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2020</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59,23</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61,41</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2021</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59,29</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61,57</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2022</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59,34</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61,73</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2023</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59,40</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61,89</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2024</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59,45</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62,05</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59,51</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62,22</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2026</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59,56</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62,38</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59,62</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62,54</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2028</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59,67</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62,70</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2029</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59,72</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62,87</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2030</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59,78</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63,04</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2031</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59,83</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63,20</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2032</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59,88</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63,37</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2033</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59,93</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63,54</w:t>
            </w:r>
          </w:p>
        </w:tc>
      </w:tr>
      <w:tr w:rsidR="00FD24EA" w:rsidRPr="00B63B22" w:rsidTr="00FD24EA">
        <w:trPr>
          <w:trHeight w:val="283"/>
        </w:trPr>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2034</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59,98</w:t>
            </w:r>
          </w:p>
        </w:tc>
        <w:tc>
          <w:tcPr>
            <w:tcW w:w="1000" w:type="pct"/>
            <w:tcBorders>
              <w:top w:val="nil"/>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63,71</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60,04</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63,88</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2036</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60,09</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64,05</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60,14</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64,22</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2038</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60,19</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64,39</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60,24</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64,57</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60,29</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64,74</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2041</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60,34</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64,92</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2042</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60,39</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65,09</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2043</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60,43</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59,86</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2044</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60,48</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60,01</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60,53</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60,16</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2046</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60,58</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60,32</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60,63</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60,47</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2048</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60,67</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60,63</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60,72</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60,78</w:t>
            </w:r>
          </w:p>
        </w:tc>
      </w:tr>
      <w:tr w:rsidR="00FD24EA" w:rsidRPr="00B63B22" w:rsidTr="00FD24EA">
        <w:trPr>
          <w:trHeight w:val="283"/>
        </w:trPr>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2050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58,65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60,77</w:t>
            </w:r>
          </w:p>
        </w:tc>
        <w:tc>
          <w:tcPr>
            <w:tcW w:w="1000" w:type="pct"/>
            <w:tcBorders>
              <w:top w:val="single" w:sz="4" w:space="0" w:color="auto"/>
              <w:left w:val="nil"/>
              <w:bottom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60,94</w:t>
            </w:r>
          </w:p>
        </w:tc>
      </w:tr>
    </w:tbl>
    <w:p w:rsidR="00FD24EA" w:rsidRDefault="00FD24EA" w:rsidP="00FD24EA">
      <w:pPr>
        <w:rPr>
          <w:rFonts w:ascii="Tw Cen MT" w:hAnsi="Tw Cen MT"/>
          <w:b/>
          <w:bCs/>
          <w:sz w:val="22"/>
          <w:szCs w:val="22"/>
          <w:lang w:eastAsia="en-US"/>
        </w:rPr>
      </w:pPr>
      <w:r>
        <w:rPr>
          <w:rFonts w:ascii="Tw Cen MT" w:hAnsi="Tw Cen MT"/>
          <w:b/>
          <w:bCs/>
          <w:sz w:val="22"/>
          <w:szCs w:val="22"/>
          <w:lang w:eastAsia="en-US"/>
        </w:rPr>
        <w:br w:type="page"/>
      </w:r>
    </w:p>
    <w:p w:rsidR="00FD24EA" w:rsidRPr="001B42C2" w:rsidRDefault="00116899" w:rsidP="00FD24EA">
      <w:pPr>
        <w:pStyle w:val="Lgende"/>
        <w:keepNext/>
        <w:spacing w:after="100"/>
        <w:rPr>
          <w:b/>
        </w:rPr>
      </w:pPr>
      <w:bookmarkStart w:id="121" w:name="_Toc310152258"/>
      <w:r w:rsidRPr="00116899">
        <w:rPr>
          <w:b/>
          <w:bCs/>
        </w:rPr>
        <w:lastRenderedPageBreak/>
        <w:t xml:space="preserve">Tableau A10. </w:t>
      </w:r>
      <w:r w:rsidRPr="00116899">
        <w:rPr>
          <w:b/>
          <w:color w:val="auto"/>
          <w:lang w:eastAsia="en-US"/>
        </w:rPr>
        <w:t xml:space="preserve">Évolution de la prévalence contraceptive moderne chez les femmes en union au </w:t>
      </w:r>
      <w:bookmarkEnd w:id="121"/>
      <w:r w:rsidRPr="00116899">
        <w:rPr>
          <w:b/>
          <w:color w:val="auto"/>
          <w:lang w:eastAsia="en-US"/>
        </w:rPr>
        <w:t>Cameroun (en %)</w:t>
      </w:r>
    </w:p>
    <w:tbl>
      <w:tblPr>
        <w:tblW w:w="5057" w:type="pct"/>
        <w:tblInd w:w="2" w:type="dxa"/>
        <w:tblCellMar>
          <w:left w:w="70" w:type="dxa"/>
          <w:right w:w="70" w:type="dxa"/>
        </w:tblCellMar>
        <w:tblLook w:val="00A0"/>
      </w:tblPr>
      <w:tblGrid>
        <w:gridCol w:w="1864"/>
        <w:gridCol w:w="1864"/>
        <w:gridCol w:w="1863"/>
        <w:gridCol w:w="1863"/>
        <w:gridCol w:w="1863"/>
      </w:tblGrid>
      <w:tr w:rsidR="00FD24EA" w:rsidRPr="00B63B22" w:rsidTr="00FD24EA">
        <w:trPr>
          <w:trHeight w:val="452"/>
        </w:trPr>
        <w:tc>
          <w:tcPr>
            <w:tcW w:w="1000"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Base</w:t>
            </w:r>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000" w:type="pct"/>
            <w:tcBorders>
              <w:top w:val="double" w:sz="6" w:space="0" w:color="auto"/>
              <w:left w:val="double" w:sz="6" w:space="0" w:color="auto"/>
              <w:bottom w:val="double" w:sz="6" w:space="0" w:color="auto"/>
              <w:right w:val="nil"/>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356"/>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2010</w:t>
            </w:r>
          </w:p>
        </w:tc>
        <w:tc>
          <w:tcPr>
            <w:tcW w:w="1000" w:type="pct"/>
            <w:tcBorders>
              <w:top w:val="nil"/>
              <w:left w:val="single" w:sz="4" w:space="0" w:color="auto"/>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single" w:sz="4" w:space="0" w:color="auto"/>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16,00</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2011</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16,74</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2012</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17,48</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2013</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18,23</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2014</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18,97</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2015</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19,71</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2016</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20,45</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2017</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21,19</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21,93</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2019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22,68</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23,42</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2021</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24,16</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2022</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24,90</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2023</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25,64</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2024</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26,38</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2025</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27,13</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2026</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27,87</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2027</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28,61</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29,35</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30,09</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30,84</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2031</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31,58</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2032</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32,32</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2033</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33,06</w:t>
            </w:r>
          </w:p>
        </w:tc>
      </w:tr>
      <w:tr w:rsidR="00FD24EA" w:rsidRPr="00B63B22" w:rsidTr="00FD24EA">
        <w:trPr>
          <w:trHeight w:val="340"/>
        </w:trPr>
        <w:tc>
          <w:tcPr>
            <w:tcW w:w="1000" w:type="pct"/>
            <w:tcBorders>
              <w:top w:val="nil"/>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2034</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nil"/>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33,80</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A703E6" w:rsidRDefault="00116899">
            <w:pPr>
              <w:jc w:val="right"/>
              <w:rPr>
                <w:rFonts w:ascii="Tw Cen MT" w:hAnsi="Tw Cen MT" w:cs="Tw Cen MT"/>
              </w:rPr>
            </w:pPr>
            <w:r w:rsidRPr="00116899">
              <w:rPr>
                <w:rFonts w:ascii="Tw Cen MT" w:hAnsi="Tw Cen MT" w:cs="Tw Cen MT"/>
                <w:sz w:val="22"/>
                <w:szCs w:val="22"/>
              </w:rPr>
              <w:t>34,54</w:t>
            </w:r>
          </w:p>
        </w:tc>
      </w:tr>
      <w:tr w:rsidR="00FD24EA" w:rsidRPr="00B63B22" w:rsidTr="00FD24EA">
        <w:trPr>
          <w:trHeight w:val="52"/>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2036</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35,29</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36,03</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2038</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36,77</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2039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37,51</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38,25</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2041</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38,99</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2042</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39,74</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2043</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40,48</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2044</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41,22</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2045</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41,96</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lastRenderedPageBreak/>
              <w:t>2046</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42,70</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2047</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43,44</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2048</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44,19</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2049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44,93</w:t>
            </w:r>
          </w:p>
        </w:tc>
      </w:tr>
      <w:tr w:rsidR="00FD24EA" w:rsidRPr="00B63B22" w:rsidTr="00FD24EA">
        <w:trPr>
          <w:trHeight w:val="340"/>
        </w:trPr>
        <w:tc>
          <w:tcPr>
            <w:tcW w:w="1000" w:type="pct"/>
            <w:tcBorders>
              <w:top w:val="single" w:sz="4" w:space="0" w:color="auto"/>
              <w:left w:val="nil"/>
              <w:bottom w:val="single" w:sz="4" w:space="0" w:color="auto"/>
              <w:right w:val="single" w:sz="4" w:space="0" w:color="auto"/>
            </w:tcBorders>
            <w:noWrap/>
          </w:tcPr>
          <w:p w:rsidR="00A703E6" w:rsidRDefault="00116899">
            <w:pPr>
              <w:jc w:val="right"/>
              <w:rPr>
                <w:rFonts w:ascii="Tw Cen MT" w:hAnsi="Tw Cen MT" w:cs="Tw Cen MT"/>
              </w:rPr>
            </w:pPr>
            <w:r w:rsidRPr="00116899">
              <w:rPr>
                <w:rFonts w:ascii="Tw Cen MT" w:hAnsi="Tw Cen MT" w:cs="Tw Cen MT"/>
                <w:sz w:val="22"/>
                <w:szCs w:val="22"/>
              </w:rPr>
              <w:t>2050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16,00</w:t>
            </w:r>
          </w:p>
        </w:tc>
        <w:tc>
          <w:tcPr>
            <w:tcW w:w="1000"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45,67</w:t>
            </w:r>
          </w:p>
        </w:tc>
      </w:tr>
    </w:tbl>
    <w:p w:rsidR="00FD24EA" w:rsidRPr="00C265F4" w:rsidRDefault="00FD24EA" w:rsidP="00FD24EA">
      <w:pPr>
        <w:rPr>
          <w:rFonts w:ascii="Tw Cen MT" w:hAnsi="Tw Cen MT"/>
          <w:b/>
          <w:bCs/>
          <w:sz w:val="22"/>
          <w:szCs w:val="22"/>
          <w:lang w:eastAsia="en-US"/>
        </w:rPr>
      </w:pPr>
    </w:p>
    <w:p w:rsidR="00FD24EA" w:rsidRDefault="00FD24EA" w:rsidP="00FD24EA">
      <w:pPr>
        <w:spacing w:after="200"/>
        <w:rPr>
          <w:rFonts w:ascii="Tw Cen MT" w:hAnsi="Tw Cen MT"/>
          <w:sz w:val="22"/>
          <w:szCs w:val="22"/>
          <w:lang w:eastAsia="en-US"/>
        </w:rPr>
      </w:pPr>
      <w:r>
        <w:rPr>
          <w:rFonts w:ascii="Tw Cen MT" w:hAnsi="Tw Cen MT"/>
          <w:sz w:val="22"/>
          <w:szCs w:val="22"/>
          <w:lang w:eastAsia="en-US"/>
        </w:rPr>
        <w:br w:type="page"/>
      </w:r>
    </w:p>
    <w:p w:rsidR="00FD24EA" w:rsidRPr="001B42C2" w:rsidRDefault="00116899" w:rsidP="00FD24EA">
      <w:pPr>
        <w:pStyle w:val="Lgende"/>
        <w:keepNext/>
        <w:spacing w:after="100"/>
        <w:rPr>
          <w:b/>
          <w:bCs/>
        </w:rPr>
      </w:pPr>
      <w:bookmarkStart w:id="122" w:name="_Toc310152259"/>
      <w:r w:rsidRPr="00116899">
        <w:rPr>
          <w:b/>
          <w:bCs/>
        </w:rPr>
        <w:lastRenderedPageBreak/>
        <w:t xml:space="preserve">Tableau A11. </w:t>
      </w:r>
      <w:r w:rsidRPr="00116899">
        <w:rPr>
          <w:b/>
          <w:color w:val="auto"/>
          <w:lang w:eastAsia="en-US"/>
        </w:rPr>
        <w:t>Évolution du taux d’accrois</w:t>
      </w:r>
      <w:r w:rsidR="001B42C2">
        <w:rPr>
          <w:b/>
          <w:color w:val="auto"/>
          <w:lang w:eastAsia="en-US"/>
        </w:rPr>
        <w:t xml:space="preserve">sement annuel de la population </w:t>
      </w:r>
      <w:r w:rsidRPr="00116899">
        <w:rPr>
          <w:b/>
          <w:color w:val="auto"/>
          <w:lang w:eastAsia="en-US"/>
        </w:rPr>
        <w:t>au</w:t>
      </w:r>
      <w:bookmarkEnd w:id="122"/>
      <w:r w:rsidRPr="00116899">
        <w:rPr>
          <w:b/>
          <w:color w:val="auto"/>
          <w:lang w:eastAsia="en-US"/>
        </w:rPr>
        <w:t xml:space="preserve"> Cameroun</w:t>
      </w:r>
    </w:p>
    <w:tbl>
      <w:tblPr>
        <w:tblW w:w="5000" w:type="pct"/>
        <w:tblInd w:w="2" w:type="dxa"/>
        <w:tblCellMar>
          <w:left w:w="70" w:type="dxa"/>
          <w:right w:w="70" w:type="dxa"/>
        </w:tblCellMar>
        <w:tblLook w:val="00A0"/>
      </w:tblPr>
      <w:tblGrid>
        <w:gridCol w:w="1842"/>
        <w:gridCol w:w="1841"/>
        <w:gridCol w:w="1841"/>
        <w:gridCol w:w="1842"/>
        <w:gridCol w:w="1846"/>
      </w:tblGrid>
      <w:tr w:rsidR="00FD24EA" w:rsidRPr="00B63B22" w:rsidTr="00FD24EA">
        <w:trPr>
          <w:trHeight w:val="327"/>
        </w:trPr>
        <w:tc>
          <w:tcPr>
            <w:tcW w:w="999"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999"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Base</w:t>
            </w:r>
          </w:p>
        </w:tc>
        <w:tc>
          <w:tcPr>
            <w:tcW w:w="999"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p>
        </w:tc>
        <w:tc>
          <w:tcPr>
            <w:tcW w:w="1000"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002" w:type="pct"/>
            <w:tcBorders>
              <w:top w:val="double" w:sz="6" w:space="0" w:color="auto"/>
              <w:left w:val="double" w:sz="6" w:space="0" w:color="auto"/>
              <w:bottom w:val="double" w:sz="6" w:space="0" w:color="auto"/>
              <w:right w:val="nil"/>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313"/>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2010</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2011</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2012</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2013</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2014</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2015</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2016</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2017</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2019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2020</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2021</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2022</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2023</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2024</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2025</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2026</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2027</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2,6%</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2,3%</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2030</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2,3%</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2031</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2,3%</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2032</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2,3%</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2033</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2,3%</w:t>
            </w:r>
          </w:p>
        </w:tc>
      </w:tr>
      <w:tr w:rsidR="00FD24EA" w:rsidRPr="00B63B22" w:rsidTr="00FD24EA">
        <w:trPr>
          <w:trHeight w:val="298"/>
        </w:trPr>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2034</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nil"/>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nil"/>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2,2%</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2035</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2,2%</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2036</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2,2%</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2037</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2,2%</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2038</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2,5%</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2,2%</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2039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2,1%</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2040</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2,1%</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2041</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2,1%</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2042</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2,1%</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2043</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2,1%</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2044</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2,4%</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2,0%</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2045</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3,2%</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3,2%</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2,2%</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2046</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2047</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2048</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2049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r w:rsidR="00FD24EA" w:rsidRPr="00B63B22" w:rsidTr="00FD24EA">
        <w:trPr>
          <w:trHeight w:val="298"/>
        </w:trPr>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s="Tw Cen MT"/>
              </w:rPr>
            </w:pPr>
            <w:r w:rsidRPr="00116899">
              <w:rPr>
                <w:rFonts w:ascii="Tw Cen MT" w:hAnsi="Tw Cen MT" w:cs="Tw Cen MT"/>
                <w:sz w:val="22"/>
                <w:szCs w:val="22"/>
              </w:rPr>
              <w:t>2050</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999"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2,9%</w:t>
            </w:r>
          </w:p>
        </w:tc>
        <w:tc>
          <w:tcPr>
            <w:tcW w:w="1000" w:type="pct"/>
            <w:tcBorders>
              <w:top w:val="single" w:sz="4" w:space="0" w:color="auto"/>
              <w:left w:val="nil"/>
              <w:bottom w:val="single" w:sz="4" w:space="0" w:color="auto"/>
              <w:right w:val="single" w:sz="4" w:space="0" w:color="auto"/>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2,8%</w:t>
            </w:r>
          </w:p>
        </w:tc>
        <w:tc>
          <w:tcPr>
            <w:tcW w:w="1002" w:type="pct"/>
            <w:tcBorders>
              <w:top w:val="single" w:sz="4" w:space="0" w:color="auto"/>
              <w:left w:val="nil"/>
              <w:bottom w:val="single" w:sz="4" w:space="0" w:color="auto"/>
              <w:right w:val="nil"/>
            </w:tcBorders>
            <w:noWrap/>
          </w:tcPr>
          <w:p w:rsidR="00FD24EA" w:rsidRPr="00B63B22" w:rsidRDefault="00116899" w:rsidP="00B63B22">
            <w:pPr>
              <w:jc w:val="right"/>
              <w:rPr>
                <w:rFonts w:ascii="Tw Cen MT" w:hAnsi="Tw Cen MT"/>
                <w:color w:val="000000"/>
              </w:rPr>
            </w:pPr>
            <w:r w:rsidRPr="00116899">
              <w:rPr>
                <w:rFonts w:ascii="Tw Cen MT" w:hAnsi="Tw Cen MT"/>
                <w:color w:val="000000"/>
                <w:sz w:val="22"/>
                <w:szCs w:val="22"/>
              </w:rPr>
              <w:t>2,7%</w:t>
            </w:r>
          </w:p>
        </w:tc>
      </w:tr>
    </w:tbl>
    <w:p w:rsidR="00FD24EA" w:rsidRPr="00C265F4" w:rsidRDefault="00FD24EA" w:rsidP="00FD24EA">
      <w:pPr>
        <w:rPr>
          <w:rFonts w:ascii="Tw Cen MT" w:hAnsi="Tw Cen MT"/>
          <w:b/>
          <w:bCs/>
          <w:sz w:val="22"/>
          <w:szCs w:val="22"/>
          <w:lang w:eastAsia="en-US"/>
        </w:rPr>
      </w:pPr>
    </w:p>
    <w:p w:rsidR="00FD24EA" w:rsidRDefault="00FD24EA" w:rsidP="00FD24EA">
      <w:pPr>
        <w:rPr>
          <w:rFonts w:ascii="Tw Cen MT" w:hAnsi="Tw Cen MT"/>
          <w:b/>
          <w:bCs/>
          <w:sz w:val="22"/>
          <w:szCs w:val="22"/>
          <w:lang w:eastAsia="en-US"/>
        </w:rPr>
      </w:pPr>
      <w:r>
        <w:rPr>
          <w:rFonts w:ascii="Tw Cen MT" w:hAnsi="Tw Cen MT"/>
          <w:b/>
          <w:bCs/>
          <w:sz w:val="22"/>
          <w:szCs w:val="22"/>
          <w:lang w:eastAsia="en-US"/>
        </w:rPr>
        <w:lastRenderedPageBreak/>
        <w:br w:type="page"/>
      </w:r>
    </w:p>
    <w:p w:rsidR="00FD24EA" w:rsidRPr="001B42C2" w:rsidRDefault="00116899" w:rsidP="00FD24EA">
      <w:pPr>
        <w:pStyle w:val="Lgende"/>
        <w:keepNext/>
        <w:spacing w:after="100"/>
        <w:rPr>
          <w:b/>
        </w:rPr>
      </w:pPr>
      <w:bookmarkStart w:id="123" w:name="_Toc310152260"/>
      <w:r w:rsidRPr="00116899">
        <w:rPr>
          <w:b/>
          <w:bCs/>
        </w:rPr>
        <w:lastRenderedPageBreak/>
        <w:t>Tableau A1</w:t>
      </w:r>
      <w:r w:rsidR="004B51E1">
        <w:rPr>
          <w:b/>
          <w:bCs/>
        </w:rPr>
        <w:t>2</w:t>
      </w:r>
      <w:r w:rsidRPr="00116899">
        <w:rPr>
          <w:b/>
          <w:bCs/>
        </w:rPr>
        <w:t xml:space="preserve">. </w:t>
      </w:r>
      <w:r w:rsidRPr="00116899">
        <w:rPr>
          <w:b/>
          <w:color w:val="auto"/>
          <w:lang w:eastAsia="en-US"/>
        </w:rPr>
        <w:t xml:space="preserve">Évolution de l’Indice de Développement Humain (IDH) au </w:t>
      </w:r>
      <w:bookmarkEnd w:id="123"/>
      <w:r w:rsidRPr="00116899">
        <w:rPr>
          <w:b/>
          <w:color w:val="auto"/>
          <w:lang w:eastAsia="en-US"/>
        </w:rPr>
        <w:t>Cameroun</w:t>
      </w:r>
    </w:p>
    <w:tbl>
      <w:tblPr>
        <w:tblW w:w="5000" w:type="pct"/>
        <w:tblInd w:w="2" w:type="dxa"/>
        <w:tblCellMar>
          <w:left w:w="70" w:type="dxa"/>
          <w:right w:w="70" w:type="dxa"/>
        </w:tblCellMar>
        <w:tblLook w:val="00A0"/>
      </w:tblPr>
      <w:tblGrid>
        <w:gridCol w:w="1672"/>
        <w:gridCol w:w="1669"/>
        <w:gridCol w:w="1669"/>
        <w:gridCol w:w="1892"/>
        <w:gridCol w:w="2310"/>
      </w:tblGrid>
      <w:tr w:rsidR="00FD24EA" w:rsidRPr="00B63B22" w:rsidTr="00FD24EA">
        <w:trPr>
          <w:trHeight w:val="366"/>
        </w:trPr>
        <w:tc>
          <w:tcPr>
            <w:tcW w:w="907" w:type="pct"/>
            <w:tcBorders>
              <w:top w:val="double" w:sz="6" w:space="0" w:color="auto"/>
              <w:left w:val="nil"/>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Année</w:t>
            </w:r>
          </w:p>
        </w:tc>
        <w:tc>
          <w:tcPr>
            <w:tcW w:w="906"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r w:rsidRPr="00B63B22">
              <w:rPr>
                <w:rFonts w:ascii="Tw Cen MT" w:hAnsi="Tw Cen MT" w:cs="Tw Cen MT"/>
                <w:b/>
                <w:bCs/>
                <w:sz w:val="22"/>
                <w:szCs w:val="22"/>
              </w:rPr>
              <w:t>Base</w:t>
            </w:r>
          </w:p>
        </w:tc>
        <w:tc>
          <w:tcPr>
            <w:tcW w:w="906"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p>
        </w:tc>
        <w:tc>
          <w:tcPr>
            <w:tcW w:w="1027" w:type="pct"/>
            <w:tcBorders>
              <w:top w:val="double" w:sz="6" w:space="0" w:color="auto"/>
              <w:left w:val="double" w:sz="6" w:space="0" w:color="auto"/>
              <w:bottom w:val="double" w:sz="6" w:space="0" w:color="auto"/>
              <w:right w:val="double" w:sz="6" w:space="0" w:color="auto"/>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w:t>
            </w:r>
          </w:p>
        </w:tc>
        <w:tc>
          <w:tcPr>
            <w:tcW w:w="1254" w:type="pct"/>
            <w:tcBorders>
              <w:top w:val="double" w:sz="6" w:space="0" w:color="auto"/>
              <w:left w:val="double" w:sz="6" w:space="0" w:color="auto"/>
              <w:bottom w:val="double" w:sz="6" w:space="0" w:color="auto"/>
              <w:right w:val="nil"/>
            </w:tcBorders>
            <w:noWrap/>
            <w:vAlign w:val="center"/>
          </w:tcPr>
          <w:p w:rsidR="00FD24EA" w:rsidRPr="00B63B22" w:rsidRDefault="00FD24EA" w:rsidP="00FD24EA">
            <w:pPr>
              <w:jc w:val="center"/>
              <w:rPr>
                <w:rFonts w:ascii="Tw Cen MT" w:hAnsi="Tw Cen MT" w:cs="Tw Cen MT"/>
                <w:b/>
                <w:bCs/>
              </w:rPr>
            </w:pPr>
            <w:proofErr w:type="spellStart"/>
            <w:r w:rsidRPr="00B63B22">
              <w:rPr>
                <w:rFonts w:ascii="Tw Cen MT" w:hAnsi="Tw Cen MT" w:cs="Tw Cen MT"/>
                <w:b/>
                <w:bCs/>
                <w:sz w:val="22"/>
                <w:szCs w:val="22"/>
              </w:rPr>
              <w:t>Econ</w:t>
            </w:r>
            <w:proofErr w:type="spellEnd"/>
            <w:r w:rsidRPr="00B63B22">
              <w:rPr>
                <w:rFonts w:ascii="Tw Cen MT" w:hAnsi="Tw Cen MT" w:cs="Tw Cen MT"/>
                <w:b/>
                <w:bCs/>
                <w:sz w:val="22"/>
                <w:szCs w:val="22"/>
              </w:rPr>
              <w:t xml:space="preserve"> + Ed + Santé</w:t>
            </w:r>
          </w:p>
        </w:tc>
      </w:tr>
      <w:tr w:rsidR="00FD24EA" w:rsidRPr="00B63B22" w:rsidTr="00FD24EA">
        <w:trPr>
          <w:trHeight w:val="350"/>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2010</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0,503</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2011</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0,503</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2012</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0,502</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2013</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0,502</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2014</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0,501</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2015</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0,500</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0,53</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0,53</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2016</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0,500</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0,53</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0,53</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2017</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0,499</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0,51</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0,54</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0,54</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2018</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0,499</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0,54</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0,55</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2019</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0,498</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0,55</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2020</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0,498</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0,52</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2021</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0,497</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0,53</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0,57</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2022</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0,497</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0,53</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0,57</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0,58</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2023</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0,496</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0,54</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0,58</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0,59</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2024</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0,496</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0,54</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0,59</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2025</w:t>
            </w:r>
          </w:p>
        </w:tc>
        <w:tc>
          <w:tcPr>
            <w:tcW w:w="906" w:type="pct"/>
            <w:tcBorders>
              <w:top w:val="nil"/>
              <w:left w:val="single" w:sz="4" w:space="0" w:color="auto"/>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0,495</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0,55</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254" w:type="pct"/>
            <w:tcBorders>
              <w:top w:val="nil"/>
              <w:left w:val="single" w:sz="4" w:space="0" w:color="auto"/>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2026</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0,495</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0,55</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0,62</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2027</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0,495</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0,62</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2028</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0,494</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0,62</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0,63</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2029</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0,494</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0,56</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0,63</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0,64</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2030</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0,494</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0,57</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0,64</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0,65</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2031</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0,494</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0,57</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0,64</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0,66</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2032</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0,493</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0,58</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0,65</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0,67</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2033</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0,493</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0,58</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0,66</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0,67</w:t>
            </w:r>
          </w:p>
        </w:tc>
      </w:tr>
      <w:tr w:rsidR="00FD24EA" w:rsidRPr="00B63B22" w:rsidTr="00FD24EA">
        <w:trPr>
          <w:trHeight w:val="333"/>
        </w:trPr>
        <w:tc>
          <w:tcPr>
            <w:tcW w:w="90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2034</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0,493</w:t>
            </w:r>
          </w:p>
        </w:tc>
        <w:tc>
          <w:tcPr>
            <w:tcW w:w="906"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0,58</w:t>
            </w:r>
          </w:p>
        </w:tc>
        <w:tc>
          <w:tcPr>
            <w:tcW w:w="1027" w:type="pct"/>
            <w:tcBorders>
              <w:top w:val="nil"/>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0,66</w:t>
            </w:r>
          </w:p>
        </w:tc>
        <w:tc>
          <w:tcPr>
            <w:tcW w:w="1254" w:type="pct"/>
            <w:tcBorders>
              <w:top w:val="nil"/>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0,68</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2035</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0,493</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0,59</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0,67</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0,69</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2036</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0,493</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0,59</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0,68</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0,70</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2037</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0,59</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0,68</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0,70</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2038</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0,59</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0,69</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0,71</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2039</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0,69</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0,72</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2040</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0,70</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0,72</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0,70</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0,73</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0,71</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0,73</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2043</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0,492</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0,71</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0,74</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2044</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0,60</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0,72</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0,74</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2045</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0,72</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0,75</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2046</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0,73</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0,75</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lastRenderedPageBreak/>
              <w:t>2047</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0,73</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0,76</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2048</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0,73</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0,76</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2049</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0,74</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0,77</w:t>
            </w:r>
          </w:p>
        </w:tc>
      </w:tr>
      <w:tr w:rsidR="00FD24EA" w:rsidRPr="00B63B22" w:rsidTr="00FD24EA">
        <w:trPr>
          <w:trHeight w:val="333"/>
        </w:trPr>
        <w:tc>
          <w:tcPr>
            <w:tcW w:w="90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s="Tw Cen MT"/>
              </w:rPr>
            </w:pPr>
            <w:r w:rsidRPr="00116899">
              <w:rPr>
                <w:rFonts w:ascii="Tw Cen MT" w:hAnsi="Tw Cen MT" w:cs="Tw Cen MT"/>
                <w:sz w:val="22"/>
                <w:szCs w:val="22"/>
              </w:rPr>
              <w:t>2050</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0,491</w:t>
            </w:r>
          </w:p>
        </w:tc>
        <w:tc>
          <w:tcPr>
            <w:tcW w:w="906"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0,61</w:t>
            </w:r>
          </w:p>
        </w:tc>
        <w:tc>
          <w:tcPr>
            <w:tcW w:w="1027" w:type="pct"/>
            <w:tcBorders>
              <w:top w:val="single" w:sz="4" w:space="0" w:color="auto"/>
              <w:left w:val="nil"/>
              <w:bottom w:val="single" w:sz="4" w:space="0" w:color="auto"/>
              <w:right w:val="single" w:sz="4" w:space="0" w:color="auto"/>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0,74</w:t>
            </w:r>
          </w:p>
        </w:tc>
        <w:tc>
          <w:tcPr>
            <w:tcW w:w="1254" w:type="pct"/>
            <w:tcBorders>
              <w:top w:val="single" w:sz="4" w:space="0" w:color="auto"/>
              <w:left w:val="nil"/>
              <w:bottom w:val="single" w:sz="4" w:space="0" w:color="auto"/>
              <w:right w:val="nil"/>
            </w:tcBorders>
            <w:noWrap/>
          </w:tcPr>
          <w:p w:rsidR="00FD24EA" w:rsidRPr="00B63B22" w:rsidRDefault="00116899" w:rsidP="00FD24EA">
            <w:pPr>
              <w:jc w:val="right"/>
              <w:rPr>
                <w:rFonts w:ascii="Tw Cen MT" w:hAnsi="Tw Cen MT"/>
                <w:color w:val="000000"/>
              </w:rPr>
            </w:pPr>
            <w:r w:rsidRPr="00116899">
              <w:rPr>
                <w:rFonts w:ascii="Tw Cen MT" w:hAnsi="Tw Cen MT"/>
                <w:color w:val="000000"/>
                <w:sz w:val="22"/>
                <w:szCs w:val="22"/>
              </w:rPr>
              <w:t>0,77</w:t>
            </w:r>
          </w:p>
        </w:tc>
      </w:tr>
    </w:tbl>
    <w:p w:rsidR="00FD24EA" w:rsidRPr="00C265F4" w:rsidRDefault="00FD24EA" w:rsidP="00FD24EA">
      <w:pPr>
        <w:rPr>
          <w:rFonts w:ascii="Tw Cen MT" w:hAnsi="Tw Cen MT" w:cs="Tw Cen MT"/>
        </w:rPr>
      </w:pPr>
    </w:p>
    <w:p w:rsidR="00FD24EA" w:rsidRDefault="00FD24EA" w:rsidP="00FD24EA"/>
    <w:p w:rsidR="00FD24EA" w:rsidRDefault="00FD24EA" w:rsidP="00FD24EA"/>
    <w:p w:rsidR="00FD24EA" w:rsidRDefault="00FD24EA" w:rsidP="00FD24EA">
      <w:pPr>
        <w:rPr>
          <w:rFonts w:ascii="Tw Cen MT" w:hAnsi="Tw Cen MT" w:cs="Tw Cen MT"/>
          <w:b/>
          <w:bCs/>
        </w:rPr>
      </w:pPr>
    </w:p>
    <w:p w:rsidR="00FD24EA" w:rsidRDefault="00FD24EA" w:rsidP="00FD24EA">
      <w:pPr>
        <w:rPr>
          <w:rFonts w:ascii="Tw Cen MT" w:hAnsi="Tw Cen MT" w:cs="Tw Cen MT"/>
          <w:b/>
          <w:bCs/>
        </w:rPr>
      </w:pPr>
      <w:r>
        <w:rPr>
          <w:rFonts w:ascii="Tw Cen MT" w:hAnsi="Tw Cen MT" w:cs="Tw Cen MT"/>
          <w:b/>
          <w:bCs/>
        </w:rPr>
        <w:br w:type="page"/>
      </w:r>
    </w:p>
    <w:p w:rsidR="00FD24EA" w:rsidRPr="00822953" w:rsidRDefault="00FD24EA" w:rsidP="00FD24EA">
      <w:pPr>
        <w:autoSpaceDE w:val="0"/>
        <w:autoSpaceDN w:val="0"/>
        <w:adjustRightInd w:val="0"/>
        <w:jc w:val="both"/>
        <w:rPr>
          <w:rFonts w:eastAsia="Calibri"/>
          <w:b/>
          <w:bCs/>
          <w:color w:val="000000"/>
          <w:sz w:val="28"/>
          <w:szCs w:val="28"/>
        </w:rPr>
      </w:pPr>
      <w:r w:rsidRPr="00822953">
        <w:rPr>
          <w:rFonts w:eastAsia="Calibri"/>
          <w:b/>
          <w:bCs/>
          <w:sz w:val="28"/>
          <w:szCs w:val="28"/>
        </w:rPr>
        <w:lastRenderedPageBreak/>
        <w:t>Rapport du déroulement de la modélisation du D</w:t>
      </w:r>
      <w:r w:rsidR="00B63B22">
        <w:rPr>
          <w:rFonts w:eastAsia="Calibri"/>
          <w:b/>
          <w:bCs/>
          <w:sz w:val="28"/>
          <w:szCs w:val="28"/>
        </w:rPr>
        <w:t>emDiv</w:t>
      </w:r>
      <w:r w:rsidRPr="00822953">
        <w:rPr>
          <w:rFonts w:eastAsia="Calibri"/>
          <w:b/>
          <w:bCs/>
          <w:sz w:val="28"/>
          <w:szCs w:val="28"/>
        </w:rPr>
        <w:t xml:space="preserve"> au Cameroun</w:t>
      </w:r>
    </w:p>
    <w:p w:rsidR="00FD24EA" w:rsidRDefault="00FD24EA" w:rsidP="00FD24EA">
      <w:pPr>
        <w:autoSpaceDE w:val="0"/>
        <w:autoSpaceDN w:val="0"/>
        <w:adjustRightInd w:val="0"/>
        <w:jc w:val="both"/>
        <w:rPr>
          <w:rFonts w:eastAsia="Calibri"/>
          <w:b/>
          <w:bCs/>
          <w:color w:val="000000"/>
        </w:rPr>
      </w:pPr>
    </w:p>
    <w:p w:rsidR="00FD24EA" w:rsidRDefault="00FD24EA" w:rsidP="00FD24EA">
      <w:pPr>
        <w:autoSpaceDE w:val="0"/>
        <w:autoSpaceDN w:val="0"/>
        <w:adjustRightInd w:val="0"/>
        <w:jc w:val="both"/>
        <w:rPr>
          <w:rFonts w:eastAsia="Calibri"/>
          <w:b/>
          <w:bCs/>
          <w:color w:val="000000"/>
        </w:rPr>
      </w:pPr>
    </w:p>
    <w:p w:rsidR="00FD24EA" w:rsidRPr="00F12C0B" w:rsidRDefault="00FD24EA" w:rsidP="00FD24EA">
      <w:pPr>
        <w:autoSpaceDE w:val="0"/>
        <w:autoSpaceDN w:val="0"/>
        <w:adjustRightInd w:val="0"/>
        <w:rPr>
          <w:rFonts w:ascii="Tw Cen MT" w:eastAsia="Calibri" w:hAnsi="Tw Cen MT" w:cs="Tw Cen MT"/>
          <w:color w:val="000000"/>
        </w:rPr>
      </w:pPr>
    </w:p>
    <w:p w:rsidR="00FD24EA" w:rsidRPr="00F12C0B" w:rsidRDefault="00FD24EA" w:rsidP="00FD24EA">
      <w:pPr>
        <w:autoSpaceDE w:val="0"/>
        <w:autoSpaceDN w:val="0"/>
        <w:adjustRightInd w:val="0"/>
        <w:rPr>
          <w:rFonts w:ascii="Tw Cen MT" w:eastAsia="Calibri" w:hAnsi="Tw Cen MT"/>
        </w:rPr>
      </w:pPr>
    </w:p>
    <w:p w:rsidR="00FD24EA" w:rsidRDefault="00FD24EA" w:rsidP="00FD24EA">
      <w:pPr>
        <w:autoSpaceDE w:val="0"/>
        <w:autoSpaceDN w:val="0"/>
        <w:adjustRightInd w:val="0"/>
        <w:jc w:val="right"/>
        <w:rPr>
          <w:rFonts w:eastAsia="Calibri"/>
          <w:b/>
          <w:bCs/>
          <w:color w:val="000000"/>
        </w:rPr>
      </w:pPr>
      <w:r w:rsidRPr="00F12C0B">
        <w:rPr>
          <w:rFonts w:eastAsia="Calibri"/>
          <w:b/>
          <w:bCs/>
          <w:sz w:val="23"/>
          <w:szCs w:val="23"/>
        </w:rPr>
        <w:t>Yaoundé, novembre 2016</w:t>
      </w:r>
      <w:r>
        <w:rPr>
          <w:rFonts w:eastAsia="Calibri"/>
          <w:b/>
          <w:bCs/>
          <w:sz w:val="23"/>
          <w:szCs w:val="23"/>
        </w:rPr>
        <w:t>.</w:t>
      </w:r>
    </w:p>
    <w:p w:rsidR="00FD24EA" w:rsidRPr="004374EB" w:rsidRDefault="00FD24EA" w:rsidP="00FD24EA">
      <w:pPr>
        <w:autoSpaceDE w:val="0"/>
        <w:autoSpaceDN w:val="0"/>
        <w:adjustRightInd w:val="0"/>
        <w:jc w:val="both"/>
        <w:rPr>
          <w:rFonts w:eastAsia="Calibri"/>
          <w:color w:val="000000"/>
        </w:rPr>
      </w:pPr>
      <w:r w:rsidRPr="004374EB">
        <w:rPr>
          <w:rFonts w:eastAsia="Calibri"/>
          <w:b/>
          <w:bCs/>
          <w:color w:val="000000"/>
        </w:rPr>
        <w:t>INTRODUCTION</w:t>
      </w:r>
    </w:p>
    <w:p w:rsidR="00FD24EA" w:rsidRPr="004374EB" w:rsidRDefault="00FD24EA" w:rsidP="00FD24EA">
      <w:pPr>
        <w:autoSpaceDE w:val="0"/>
        <w:autoSpaceDN w:val="0"/>
        <w:adjustRightInd w:val="0"/>
        <w:spacing w:before="240"/>
        <w:jc w:val="both"/>
        <w:rPr>
          <w:rFonts w:eastAsia="Calibri"/>
          <w:color w:val="000000"/>
        </w:rPr>
      </w:pPr>
      <w:r w:rsidRPr="004374EB">
        <w:rPr>
          <w:rFonts w:eastAsia="Calibri"/>
          <w:color w:val="000000"/>
        </w:rPr>
        <w:t>L’Institut de Formation et de Recherche Démographiques (IFORD) a été mandaté par le Ministère de l’Économie, de la Planification et de l’Aménagement du Territoire (MINEPAT) pour l’accompagner dans le cadre de la modélisation du div</w:t>
      </w:r>
      <w:r>
        <w:rPr>
          <w:rFonts w:eastAsia="Calibri"/>
          <w:color w:val="000000"/>
        </w:rPr>
        <w:t>idende démographique (DemDiv</w:t>
      </w:r>
      <w:r w:rsidRPr="004374EB">
        <w:rPr>
          <w:rFonts w:eastAsia="Calibri"/>
          <w:color w:val="000000"/>
        </w:rPr>
        <w:t xml:space="preserve">) au Cameroun. Cette modélisation du dividende démographique permettra de produire un argumentaire à partir des données existantes au Cameroun, afin de répondre aux besoins des décideurs et de montrer l’impact de différents scénarii de politiques et d’investissements. </w:t>
      </w:r>
    </w:p>
    <w:p w:rsidR="00FD24EA" w:rsidRPr="004374EB" w:rsidRDefault="00FD24EA" w:rsidP="00FD24EA">
      <w:pPr>
        <w:autoSpaceDE w:val="0"/>
        <w:autoSpaceDN w:val="0"/>
        <w:adjustRightInd w:val="0"/>
        <w:spacing w:before="240"/>
        <w:jc w:val="both"/>
        <w:rPr>
          <w:rFonts w:eastAsia="Calibri"/>
          <w:color w:val="000000"/>
        </w:rPr>
      </w:pPr>
      <w:r w:rsidRPr="004374EB">
        <w:rPr>
          <w:rFonts w:eastAsia="Calibri"/>
          <w:color w:val="000000"/>
        </w:rPr>
        <w:t>L’étude vise à inciter les autorités politiques à prendre des décisions en faveur du bénéfice du dividende démographique. Elle fait suite à une première étude ayant permis d’apprécier la situation du dividende démographique au Cam</w:t>
      </w:r>
      <w:r>
        <w:rPr>
          <w:rFonts w:eastAsia="Calibri"/>
          <w:color w:val="000000"/>
        </w:rPr>
        <w:t>eroun. L’objectif général de l’</w:t>
      </w:r>
      <w:r w:rsidRPr="004374EB">
        <w:rPr>
          <w:rFonts w:eastAsia="Calibri"/>
          <w:color w:val="000000"/>
        </w:rPr>
        <w:t xml:space="preserve">étude est de contribuer à rendre disponibles les informations stratégiques sur les divers scénarii d’évolution des indicateurs </w:t>
      </w:r>
      <w:r>
        <w:rPr>
          <w:rFonts w:eastAsia="Calibri"/>
          <w:color w:val="000000"/>
        </w:rPr>
        <w:t>socio-démo-économiques</w:t>
      </w:r>
      <w:r w:rsidRPr="004374EB">
        <w:rPr>
          <w:rFonts w:eastAsia="Calibri"/>
          <w:color w:val="000000"/>
        </w:rPr>
        <w:t xml:space="preserve">. Plus spécifiquement, il </w:t>
      </w:r>
      <w:r>
        <w:rPr>
          <w:rFonts w:eastAsia="Calibri"/>
          <w:color w:val="000000"/>
        </w:rPr>
        <w:t>s’agi</w:t>
      </w:r>
      <w:r w:rsidR="004E4433">
        <w:rPr>
          <w:rFonts w:eastAsia="Calibri"/>
          <w:color w:val="000000"/>
        </w:rPr>
        <w:t>t</w:t>
      </w:r>
      <w:r>
        <w:rPr>
          <w:rFonts w:eastAsia="Calibri"/>
          <w:color w:val="000000"/>
        </w:rPr>
        <w:t xml:space="preserve"> de :</w:t>
      </w:r>
    </w:p>
    <w:p w:rsidR="00FD24EA" w:rsidRPr="00C673F9" w:rsidRDefault="00FD24EA" w:rsidP="00FD24EA">
      <w:pPr>
        <w:pStyle w:val="Paragraphedeliste"/>
        <w:numPr>
          <w:ilvl w:val="0"/>
          <w:numId w:val="134"/>
        </w:numPr>
        <w:autoSpaceDE w:val="0"/>
        <w:autoSpaceDN w:val="0"/>
        <w:adjustRightInd w:val="0"/>
        <w:spacing w:before="100" w:beforeAutospacing="1" w:after="100" w:afterAutospacing="1"/>
        <w:ind w:left="357" w:hanging="357"/>
        <w:jc w:val="both"/>
        <w:rPr>
          <w:rFonts w:eastAsia="Calibri"/>
          <w:color w:val="000000"/>
        </w:rPr>
      </w:pPr>
      <w:r w:rsidRPr="00C673F9">
        <w:rPr>
          <w:rFonts w:eastAsia="Calibri"/>
          <w:color w:val="000000"/>
        </w:rPr>
        <w:t>mobiliser les données nationales nécessaires à la modélisation ;</w:t>
      </w:r>
    </w:p>
    <w:p w:rsidR="00FD24EA" w:rsidRPr="00C673F9" w:rsidRDefault="00FD24EA" w:rsidP="00FD24EA">
      <w:pPr>
        <w:pStyle w:val="Paragraphedeliste"/>
        <w:numPr>
          <w:ilvl w:val="0"/>
          <w:numId w:val="134"/>
        </w:numPr>
        <w:autoSpaceDE w:val="0"/>
        <w:autoSpaceDN w:val="0"/>
        <w:adjustRightInd w:val="0"/>
        <w:spacing w:before="100" w:beforeAutospacing="1" w:after="100" w:afterAutospacing="1"/>
        <w:ind w:left="357" w:hanging="357"/>
        <w:jc w:val="both"/>
        <w:rPr>
          <w:rFonts w:eastAsia="Calibri"/>
          <w:color w:val="000000"/>
        </w:rPr>
      </w:pPr>
      <w:r w:rsidRPr="00C673F9">
        <w:rPr>
          <w:rFonts w:eastAsia="Calibri"/>
          <w:color w:val="000000"/>
        </w:rPr>
        <w:t>réaliser la modélisation sur la base des données collectées et des orientations du rapport de la mission d’exploration ;</w:t>
      </w:r>
    </w:p>
    <w:p w:rsidR="00FD24EA" w:rsidRPr="00822953" w:rsidRDefault="00FD24EA" w:rsidP="00FD24EA">
      <w:pPr>
        <w:pStyle w:val="Paragraphedeliste"/>
        <w:numPr>
          <w:ilvl w:val="0"/>
          <w:numId w:val="134"/>
        </w:numPr>
        <w:autoSpaceDE w:val="0"/>
        <w:autoSpaceDN w:val="0"/>
        <w:adjustRightInd w:val="0"/>
        <w:spacing w:before="100" w:beforeAutospacing="1" w:after="100" w:afterAutospacing="1"/>
        <w:ind w:left="357" w:hanging="357"/>
        <w:jc w:val="both"/>
        <w:rPr>
          <w:rFonts w:eastAsia="Calibri"/>
          <w:color w:val="000000"/>
        </w:rPr>
      </w:pPr>
      <w:r w:rsidRPr="00822953">
        <w:rPr>
          <w:rFonts w:eastAsia="Calibri"/>
          <w:color w:val="000000"/>
        </w:rPr>
        <w:t>formuler des recommandations pour une meilleure poursuite du processus vers la déclaration politique.</w:t>
      </w:r>
      <w:r w:rsidRPr="00822953">
        <w:rPr>
          <w:rFonts w:eastAsia="Calibri"/>
          <w:color w:val="000000"/>
        </w:rPr>
        <w:tab/>
      </w:r>
    </w:p>
    <w:p w:rsidR="00FD24EA" w:rsidRPr="004374EB" w:rsidRDefault="00FD24EA" w:rsidP="00FD24EA">
      <w:pPr>
        <w:autoSpaceDE w:val="0"/>
        <w:autoSpaceDN w:val="0"/>
        <w:adjustRightInd w:val="0"/>
        <w:jc w:val="both"/>
        <w:rPr>
          <w:rFonts w:eastAsia="Calibri"/>
          <w:color w:val="000000"/>
        </w:rPr>
      </w:pPr>
      <w:r w:rsidRPr="004374EB">
        <w:rPr>
          <w:rFonts w:eastAsia="Calibri"/>
          <w:color w:val="000000"/>
        </w:rPr>
        <w:t>Ce rapport présente le déroulement de cette mission, à travers le</w:t>
      </w:r>
      <w:r>
        <w:rPr>
          <w:rFonts w:eastAsia="Calibri"/>
          <w:color w:val="000000"/>
        </w:rPr>
        <w:t>s différentes activités menées.</w:t>
      </w:r>
    </w:p>
    <w:p w:rsidR="00FD24EA" w:rsidRPr="004374EB" w:rsidRDefault="00FD24EA" w:rsidP="00FD24EA">
      <w:pPr>
        <w:autoSpaceDE w:val="0"/>
        <w:autoSpaceDN w:val="0"/>
        <w:adjustRightInd w:val="0"/>
        <w:spacing w:before="240"/>
        <w:jc w:val="both"/>
        <w:rPr>
          <w:rFonts w:eastAsia="Calibri"/>
          <w:color w:val="000000"/>
        </w:rPr>
      </w:pPr>
      <w:r w:rsidRPr="004374EB">
        <w:rPr>
          <w:rFonts w:eastAsia="Calibri"/>
          <w:b/>
          <w:bCs/>
          <w:color w:val="000000"/>
        </w:rPr>
        <w:t>REUNIONS DE CADRAGE METHODOLOGIQUE ET D’HARMONISATION DE LA COMPREHENSION DU MANDAT</w:t>
      </w:r>
    </w:p>
    <w:p w:rsidR="00FD24EA" w:rsidRPr="004374EB" w:rsidRDefault="00FD24EA" w:rsidP="00FD24EA">
      <w:pPr>
        <w:autoSpaceDE w:val="0"/>
        <w:autoSpaceDN w:val="0"/>
        <w:adjustRightInd w:val="0"/>
        <w:spacing w:before="240"/>
        <w:jc w:val="both"/>
        <w:rPr>
          <w:rFonts w:eastAsia="Calibri"/>
        </w:rPr>
      </w:pPr>
      <w:r w:rsidRPr="004374EB">
        <w:rPr>
          <w:rFonts w:eastAsia="Calibri"/>
          <w:color w:val="000000"/>
        </w:rPr>
        <w:t xml:space="preserve">C’est le 22 juillet 2016 que la première réunion relative à cette activité </w:t>
      </w:r>
      <w:r>
        <w:rPr>
          <w:rFonts w:eastAsia="Calibri"/>
          <w:color w:val="000000"/>
        </w:rPr>
        <w:t>s’est tenue dans les locaux du B</w:t>
      </w:r>
      <w:r w:rsidRPr="004374EB">
        <w:rPr>
          <w:rFonts w:eastAsia="Calibri"/>
          <w:color w:val="000000"/>
        </w:rPr>
        <w:t xml:space="preserve">ureau pays de l’UNFPA à Yaoundé. Présidée par Madame la Représentante de l’UNFPA, cette réunion bipartite (IFORD-UNFPA) portait sur l’harmonisation de la compréhension des Termes de Références (TDRs) de cette activité. L’IFORD y a également présenté sa compréhension du mandat. </w:t>
      </w:r>
      <w:r>
        <w:rPr>
          <w:rFonts w:eastAsia="Calibri"/>
          <w:color w:val="000000"/>
        </w:rPr>
        <w:t>À</w:t>
      </w:r>
      <w:r w:rsidRPr="004374EB">
        <w:rPr>
          <w:rFonts w:eastAsia="Calibri"/>
          <w:color w:val="000000"/>
        </w:rPr>
        <w:t xml:space="preserve"> la suite des échanges, il est ressorti la nécessité de préparer un document décrivant succinctement la démarche méthodologique et la proposition financière à soumettre à la partie nationale pour recueillir s</w:t>
      </w:r>
      <w:r>
        <w:rPr>
          <w:rFonts w:eastAsia="Calibri"/>
          <w:color w:val="000000"/>
        </w:rPr>
        <w:t>es observations et suggestions.</w:t>
      </w:r>
    </w:p>
    <w:p w:rsidR="00FD24EA" w:rsidRPr="004374EB" w:rsidRDefault="00FD24EA" w:rsidP="00FD24EA">
      <w:pPr>
        <w:pageBreakBefore/>
        <w:autoSpaceDE w:val="0"/>
        <w:autoSpaceDN w:val="0"/>
        <w:adjustRightInd w:val="0"/>
        <w:jc w:val="both"/>
        <w:rPr>
          <w:rFonts w:eastAsia="Calibri"/>
        </w:rPr>
      </w:pPr>
      <w:r w:rsidRPr="004374EB">
        <w:rPr>
          <w:rFonts w:eastAsia="Calibri"/>
        </w:rPr>
        <w:lastRenderedPageBreak/>
        <w:t>Plusieurs autres réunions restreintes préparatoires de cette activité ont été organisées dans les locaux de l’IFORD en mi-septembre 2016 avec l’UNFPA et la Division des Analyses Démographiques et des Migrations (DADM) du MINEPAT. Ces différentes rencontres visaient entre autres à s’accorder sur la liste des indicateurs néces</w:t>
      </w:r>
      <w:r>
        <w:rPr>
          <w:rFonts w:eastAsia="Calibri"/>
        </w:rPr>
        <w:t>saires à la modélisation du DemDiv</w:t>
      </w:r>
      <w:r w:rsidRPr="004374EB">
        <w:rPr>
          <w:rFonts w:eastAsia="Calibri"/>
        </w:rPr>
        <w:t>, le ciblage des structures nationales productrices de ces indicateurs, et enfin la préparation de la réunion avec les producteurs nationaux de données statistiques nécessa</w:t>
      </w:r>
      <w:r>
        <w:rPr>
          <w:rFonts w:eastAsia="Calibri"/>
        </w:rPr>
        <w:t>ires à la réalisation du DemDiv.</w:t>
      </w:r>
    </w:p>
    <w:p w:rsidR="00FD24EA" w:rsidRPr="004374EB" w:rsidRDefault="00FD24EA" w:rsidP="00FD24EA">
      <w:pPr>
        <w:autoSpaceDE w:val="0"/>
        <w:autoSpaceDN w:val="0"/>
        <w:adjustRightInd w:val="0"/>
        <w:spacing w:before="240"/>
        <w:jc w:val="both"/>
        <w:rPr>
          <w:rFonts w:eastAsia="Calibri"/>
        </w:rPr>
      </w:pPr>
      <w:r w:rsidRPr="004374EB">
        <w:rPr>
          <w:rFonts w:eastAsia="Calibri"/>
          <w:b/>
          <w:bCs/>
        </w:rPr>
        <w:t>PR</w:t>
      </w:r>
      <w:r>
        <w:rPr>
          <w:rFonts w:eastAsia="Calibri"/>
          <w:b/>
          <w:bCs/>
        </w:rPr>
        <w:t>É</w:t>
      </w:r>
      <w:r w:rsidRPr="004374EB">
        <w:rPr>
          <w:rFonts w:eastAsia="Calibri"/>
          <w:b/>
          <w:bCs/>
        </w:rPr>
        <w:t>PARATION D’UNE PROPOSITION TECHNIQUE ET FINANCI</w:t>
      </w:r>
      <w:r>
        <w:rPr>
          <w:rFonts w:eastAsia="Calibri"/>
          <w:b/>
          <w:bCs/>
        </w:rPr>
        <w:t>È</w:t>
      </w:r>
      <w:r w:rsidRPr="004374EB">
        <w:rPr>
          <w:rFonts w:eastAsia="Calibri"/>
          <w:b/>
          <w:bCs/>
        </w:rPr>
        <w:t xml:space="preserve">RE ET SOUMISSION </w:t>
      </w:r>
      <w:r>
        <w:rPr>
          <w:rFonts w:eastAsia="Calibri"/>
          <w:b/>
          <w:bCs/>
        </w:rPr>
        <w:t>À</w:t>
      </w:r>
      <w:r w:rsidRPr="004374EB">
        <w:rPr>
          <w:rFonts w:eastAsia="Calibri"/>
          <w:b/>
          <w:bCs/>
        </w:rPr>
        <w:t xml:space="preserve"> L’UNPFA ET AU MINEPAT</w:t>
      </w:r>
    </w:p>
    <w:p w:rsidR="00FD24EA" w:rsidRPr="004374EB" w:rsidRDefault="00FD24EA" w:rsidP="00FD24EA">
      <w:pPr>
        <w:autoSpaceDE w:val="0"/>
        <w:autoSpaceDN w:val="0"/>
        <w:adjustRightInd w:val="0"/>
        <w:spacing w:before="240"/>
        <w:jc w:val="both"/>
        <w:rPr>
          <w:rFonts w:eastAsia="Calibri"/>
        </w:rPr>
      </w:pPr>
      <w:r w:rsidRPr="004374EB">
        <w:rPr>
          <w:rFonts w:eastAsia="Calibri"/>
        </w:rPr>
        <w:t xml:space="preserve">Suite à la lettre du MINEPAT du 30 août 2016, par laquelle le MINEPAT </w:t>
      </w:r>
      <w:r>
        <w:rPr>
          <w:rFonts w:eastAsia="Calibri"/>
        </w:rPr>
        <w:t xml:space="preserve">a </w:t>
      </w:r>
      <w:r w:rsidRPr="004374EB">
        <w:rPr>
          <w:rFonts w:eastAsia="Calibri"/>
        </w:rPr>
        <w:t>transm</w:t>
      </w:r>
      <w:r>
        <w:rPr>
          <w:rFonts w:eastAsia="Calibri"/>
        </w:rPr>
        <w:t>is</w:t>
      </w:r>
      <w:r w:rsidRPr="004374EB">
        <w:rPr>
          <w:rFonts w:eastAsia="Calibri"/>
        </w:rPr>
        <w:t xml:space="preserve"> les </w:t>
      </w:r>
      <w:r w:rsidR="00B63B22">
        <w:rPr>
          <w:rFonts w:eastAsia="Calibri"/>
        </w:rPr>
        <w:t>termes de référence</w:t>
      </w:r>
      <w:r w:rsidR="00715FE9">
        <w:rPr>
          <w:rFonts w:eastAsia="Calibri"/>
        </w:rPr>
        <w:t xml:space="preserve"> </w:t>
      </w:r>
      <w:r w:rsidRPr="004374EB">
        <w:rPr>
          <w:rFonts w:eastAsia="Calibri"/>
        </w:rPr>
        <w:t xml:space="preserve">de la mission et </w:t>
      </w:r>
      <w:r>
        <w:rPr>
          <w:rFonts w:eastAsia="Calibri"/>
        </w:rPr>
        <w:t xml:space="preserve">a </w:t>
      </w:r>
      <w:r w:rsidRPr="004374EB">
        <w:rPr>
          <w:rFonts w:eastAsia="Calibri"/>
        </w:rPr>
        <w:t>désign</w:t>
      </w:r>
      <w:r>
        <w:rPr>
          <w:rFonts w:eastAsia="Calibri"/>
        </w:rPr>
        <w:t>é</w:t>
      </w:r>
      <w:r w:rsidRPr="004374EB">
        <w:rPr>
          <w:rFonts w:eastAsia="Calibri"/>
        </w:rPr>
        <w:t xml:space="preserve"> l’IFORD comme son accompagnateur dans le cadre de cette modélisation, l’IFORD a préparé et soumis une offre technique et financière </w:t>
      </w:r>
      <w:r>
        <w:rPr>
          <w:rFonts w:eastAsia="Calibri"/>
        </w:rPr>
        <w:t>ayant</w:t>
      </w:r>
      <w:r w:rsidRPr="004374EB">
        <w:rPr>
          <w:rFonts w:eastAsia="Calibri"/>
        </w:rPr>
        <w:t xml:space="preserve"> fait l’objet des discussions entre les trois parties (IFORD, MINEPAT, UNFPA). Après avoir pris en compte les suggestions de l’UNFPA et du MINEPAT pour améliorer le document dans le fond et dans la forme, une nouvelle version a été renvoyée à ces deux institutions pou</w:t>
      </w:r>
      <w:r>
        <w:rPr>
          <w:rFonts w:eastAsia="Calibri"/>
        </w:rPr>
        <w:t>r la poursuite de la procédure.</w:t>
      </w:r>
    </w:p>
    <w:p w:rsidR="00FD24EA" w:rsidRPr="004374EB" w:rsidRDefault="00FD24EA" w:rsidP="00FD24EA">
      <w:pPr>
        <w:autoSpaceDE w:val="0"/>
        <w:autoSpaceDN w:val="0"/>
        <w:adjustRightInd w:val="0"/>
        <w:spacing w:before="240"/>
        <w:jc w:val="both"/>
        <w:rPr>
          <w:rFonts w:eastAsia="Calibri"/>
        </w:rPr>
      </w:pPr>
      <w:r w:rsidRPr="004374EB">
        <w:rPr>
          <w:rFonts w:eastAsia="Calibri"/>
          <w:b/>
          <w:bCs/>
        </w:rPr>
        <w:t>R</w:t>
      </w:r>
      <w:r>
        <w:rPr>
          <w:rFonts w:eastAsia="Calibri"/>
          <w:b/>
          <w:bCs/>
        </w:rPr>
        <w:t>É</w:t>
      </w:r>
      <w:r w:rsidRPr="004374EB">
        <w:rPr>
          <w:rFonts w:eastAsia="Calibri"/>
          <w:b/>
          <w:bCs/>
        </w:rPr>
        <w:t>UNION DE PR</w:t>
      </w:r>
      <w:r>
        <w:rPr>
          <w:rFonts w:eastAsia="Calibri"/>
          <w:b/>
          <w:bCs/>
        </w:rPr>
        <w:t>É</w:t>
      </w:r>
      <w:r w:rsidRPr="004374EB">
        <w:rPr>
          <w:rFonts w:eastAsia="Calibri"/>
          <w:b/>
          <w:bCs/>
        </w:rPr>
        <w:t xml:space="preserve">SENTATION DE LA MISSION AUX PRODUCTEURS DE DONNEES </w:t>
      </w:r>
    </w:p>
    <w:p w:rsidR="00FD24EA" w:rsidRPr="004374EB" w:rsidRDefault="00FD24EA" w:rsidP="00FD24EA">
      <w:pPr>
        <w:autoSpaceDE w:val="0"/>
        <w:autoSpaceDN w:val="0"/>
        <w:adjustRightInd w:val="0"/>
        <w:spacing w:before="240"/>
        <w:jc w:val="both"/>
        <w:rPr>
          <w:rFonts w:eastAsia="Calibri"/>
        </w:rPr>
      </w:pPr>
      <w:r w:rsidRPr="004374EB">
        <w:rPr>
          <w:rFonts w:eastAsia="Calibri"/>
        </w:rPr>
        <w:t xml:space="preserve">Le jeudi 06 octobre 2016, le MINEPAT a organisé une réunion préparatoire en vue de la réalisation des travaux de modélisation sur le dividende démographique. L’objectif visé était de sensibiliser les participants sur la nécessité de recenser et de fournir des données nationales de qualité devant servir à la réalisation desdits travaux de modélisation. Il s’agissait plus spécifiquement de mobiliser l’ensemble des acteurs clés </w:t>
      </w:r>
      <w:r>
        <w:rPr>
          <w:rFonts w:eastAsia="Calibri"/>
        </w:rPr>
        <w:t xml:space="preserve">pour </w:t>
      </w:r>
      <w:r w:rsidRPr="004374EB">
        <w:rPr>
          <w:rFonts w:eastAsia="Calibri"/>
        </w:rPr>
        <w:t>mieux susciter leur implication dans l’ensemble du processus. Ainsi, cette rencontre a permis au MINEPAT de sensibiliser ces producteurs sur l’importance de faciliter à l’équipe technique de l’IFORD, l’accès aux données, sans lesquelles, la réalisation d</w:t>
      </w:r>
      <w:r>
        <w:rPr>
          <w:rFonts w:eastAsia="Calibri"/>
        </w:rPr>
        <w:t xml:space="preserve">e la modélisation </w:t>
      </w:r>
      <w:r w:rsidRPr="004374EB">
        <w:rPr>
          <w:rFonts w:eastAsia="Calibri"/>
        </w:rPr>
        <w:t xml:space="preserve">ne pourrait avoir lieu. </w:t>
      </w:r>
      <w:r>
        <w:rPr>
          <w:rFonts w:eastAsia="Calibri"/>
        </w:rPr>
        <w:t>À</w:t>
      </w:r>
      <w:r w:rsidRPr="004374EB">
        <w:rPr>
          <w:rFonts w:eastAsia="Calibri"/>
        </w:rPr>
        <w:t xml:space="preserve"> cette rencontre, prenait part l’ensemble des institutions chargées de produire les données utiles à la réa</w:t>
      </w:r>
      <w:r>
        <w:rPr>
          <w:rFonts w:eastAsia="Calibri"/>
        </w:rPr>
        <w:t>lisation de cette modélisation.</w:t>
      </w:r>
    </w:p>
    <w:p w:rsidR="00FD24EA" w:rsidRPr="004374EB" w:rsidRDefault="00FD24EA" w:rsidP="00FD24EA">
      <w:pPr>
        <w:autoSpaceDE w:val="0"/>
        <w:autoSpaceDN w:val="0"/>
        <w:adjustRightInd w:val="0"/>
        <w:spacing w:before="240"/>
        <w:jc w:val="both"/>
        <w:rPr>
          <w:rFonts w:eastAsia="Calibri"/>
        </w:rPr>
      </w:pPr>
      <w:r w:rsidRPr="004374EB">
        <w:rPr>
          <w:rFonts w:eastAsia="Calibri"/>
          <w:b/>
          <w:bCs/>
        </w:rPr>
        <w:t xml:space="preserve">RECRUTEMENT, FORMATION DU PERSONNEL DE COLLECTE ET DEROULEMENT DE LA COLLECTE DES DONNEES AUPRES DES INSTITUTIONS CLES </w:t>
      </w:r>
    </w:p>
    <w:p w:rsidR="00FD24EA" w:rsidRPr="004374EB" w:rsidRDefault="00FD24EA" w:rsidP="00FD24EA">
      <w:pPr>
        <w:autoSpaceDE w:val="0"/>
        <w:autoSpaceDN w:val="0"/>
        <w:adjustRightInd w:val="0"/>
        <w:spacing w:before="240"/>
        <w:jc w:val="both"/>
        <w:rPr>
          <w:rFonts w:eastAsia="Calibri"/>
        </w:rPr>
      </w:pPr>
      <w:r w:rsidRPr="004374EB">
        <w:rPr>
          <w:rFonts w:eastAsia="Calibri"/>
        </w:rPr>
        <w:t xml:space="preserve">Une fois la méthodologie approuvée par l’ensemble des acteurs impliqués dans le processus, l’IFORD a procédé au recrutement de 10 agents </w:t>
      </w:r>
      <w:r>
        <w:rPr>
          <w:rFonts w:eastAsia="Calibri"/>
        </w:rPr>
        <w:t xml:space="preserve">(cf. liste en annexe du document) </w:t>
      </w:r>
      <w:r w:rsidRPr="004374EB">
        <w:rPr>
          <w:rFonts w:eastAsia="Calibri"/>
        </w:rPr>
        <w:t>devant accompagner l’équipe technique dans les opérations de recueil des données auprès des institutions clés. Cette opération de collecte a duré 10 jours dans la ville de Yaoundé. Au terme de la collecte la phase d’exploitation des données s’en est suivie et a permis de produire une liste des indicateurs devant servir de base de travail lors de l’atelier sur la modé</w:t>
      </w:r>
      <w:r>
        <w:rPr>
          <w:rFonts w:eastAsia="Calibri"/>
        </w:rPr>
        <w:t>lisation avec les acteurs clés.</w:t>
      </w:r>
    </w:p>
    <w:p w:rsidR="00FD24EA" w:rsidRDefault="00FD24EA" w:rsidP="00FD24EA">
      <w:pPr>
        <w:autoSpaceDE w:val="0"/>
        <w:autoSpaceDN w:val="0"/>
        <w:adjustRightInd w:val="0"/>
        <w:spacing w:before="240"/>
        <w:jc w:val="both"/>
        <w:rPr>
          <w:rFonts w:eastAsia="Calibri"/>
          <w:b/>
          <w:bCs/>
        </w:rPr>
      </w:pPr>
    </w:p>
    <w:p w:rsidR="00FD24EA" w:rsidRDefault="00FD24EA" w:rsidP="00FD24EA">
      <w:pPr>
        <w:autoSpaceDE w:val="0"/>
        <w:autoSpaceDN w:val="0"/>
        <w:adjustRightInd w:val="0"/>
        <w:spacing w:before="240"/>
        <w:jc w:val="both"/>
        <w:rPr>
          <w:rFonts w:eastAsia="Calibri"/>
          <w:b/>
          <w:bCs/>
        </w:rPr>
      </w:pPr>
    </w:p>
    <w:p w:rsidR="00FD24EA" w:rsidRDefault="00FD24EA" w:rsidP="00FD24EA">
      <w:pPr>
        <w:rPr>
          <w:rFonts w:eastAsia="Calibri"/>
          <w:b/>
          <w:bCs/>
        </w:rPr>
      </w:pPr>
      <w:r>
        <w:rPr>
          <w:rFonts w:eastAsia="Calibri"/>
          <w:b/>
          <w:bCs/>
        </w:rPr>
        <w:br w:type="page"/>
      </w:r>
    </w:p>
    <w:p w:rsidR="00FD24EA" w:rsidRPr="004374EB" w:rsidRDefault="00FD24EA" w:rsidP="00FD24EA">
      <w:pPr>
        <w:autoSpaceDE w:val="0"/>
        <w:autoSpaceDN w:val="0"/>
        <w:adjustRightInd w:val="0"/>
        <w:spacing w:before="240"/>
        <w:jc w:val="both"/>
        <w:rPr>
          <w:rFonts w:eastAsia="Calibri"/>
        </w:rPr>
      </w:pPr>
      <w:r w:rsidRPr="004374EB">
        <w:rPr>
          <w:rFonts w:eastAsia="Calibri"/>
          <w:b/>
          <w:bCs/>
        </w:rPr>
        <w:lastRenderedPageBreak/>
        <w:t xml:space="preserve">ATELIER SUR LA MODELISATION DU DIVIDENDE DEMOGRAPHIQUE </w:t>
      </w:r>
    </w:p>
    <w:p w:rsidR="00FD24EA" w:rsidRPr="004374EB" w:rsidRDefault="00FD24EA" w:rsidP="00FD24EA">
      <w:pPr>
        <w:autoSpaceDE w:val="0"/>
        <w:autoSpaceDN w:val="0"/>
        <w:adjustRightInd w:val="0"/>
        <w:spacing w:before="240"/>
        <w:jc w:val="both"/>
        <w:rPr>
          <w:rFonts w:eastAsia="Calibri"/>
        </w:rPr>
      </w:pPr>
      <w:r w:rsidRPr="004374EB">
        <w:rPr>
          <w:rFonts w:eastAsia="Calibri"/>
        </w:rPr>
        <w:t>Du 20 au 21 octobre, s’est tenu au campus de l’IFORD à Ngoa-</w:t>
      </w:r>
      <w:proofErr w:type="spellStart"/>
      <w:r w:rsidRPr="004374EB">
        <w:rPr>
          <w:rFonts w:eastAsia="Calibri"/>
        </w:rPr>
        <w:t>Ekél</w:t>
      </w:r>
      <w:r>
        <w:rPr>
          <w:rFonts w:eastAsia="Calibri"/>
        </w:rPr>
        <w:t>l</w:t>
      </w:r>
      <w:r w:rsidRPr="004374EB">
        <w:rPr>
          <w:rFonts w:eastAsia="Calibri"/>
        </w:rPr>
        <w:t>é</w:t>
      </w:r>
      <w:proofErr w:type="spellEnd"/>
      <w:r w:rsidRPr="004374EB">
        <w:rPr>
          <w:rFonts w:eastAsia="Calibri"/>
        </w:rPr>
        <w:t>, un atelier d’appropriati</w:t>
      </w:r>
      <w:r>
        <w:rPr>
          <w:rFonts w:eastAsia="Calibri"/>
        </w:rPr>
        <w:t>on de la modélisation du DemDiv</w:t>
      </w:r>
      <w:r w:rsidRPr="004374EB">
        <w:rPr>
          <w:rFonts w:eastAsia="Calibri"/>
        </w:rPr>
        <w:t xml:space="preserve"> au Cameroun. Y prenaient part les représentants de différentes administrations impliquées dans la production des données nécessaires à la réalisation du D</w:t>
      </w:r>
      <w:r>
        <w:rPr>
          <w:rFonts w:eastAsia="Calibri"/>
        </w:rPr>
        <w:t>emDiv</w:t>
      </w:r>
      <w:r w:rsidRPr="004374EB">
        <w:rPr>
          <w:rFonts w:eastAsia="Calibri"/>
        </w:rPr>
        <w:t>, notamment ceux qui avaient déjà été sensibilisés sur la question lors de la rencontre</w:t>
      </w:r>
      <w:r>
        <w:rPr>
          <w:rFonts w:eastAsia="Calibri"/>
        </w:rPr>
        <w:t xml:space="preserve"> de présentation de la mission.</w:t>
      </w:r>
    </w:p>
    <w:p w:rsidR="00FD24EA" w:rsidRPr="004374EB" w:rsidRDefault="00FD24EA" w:rsidP="00FD24EA">
      <w:pPr>
        <w:autoSpaceDE w:val="0"/>
        <w:autoSpaceDN w:val="0"/>
        <w:adjustRightInd w:val="0"/>
        <w:spacing w:before="240"/>
        <w:jc w:val="both"/>
        <w:rPr>
          <w:rFonts w:eastAsia="Calibri"/>
        </w:rPr>
      </w:pPr>
      <w:r w:rsidRPr="004374EB">
        <w:rPr>
          <w:rFonts w:eastAsia="Calibri"/>
        </w:rPr>
        <w:t>Cet atelier a regroupé, en plus de l’UNFPA, tous les producteurs nationaux de données statistiques, en vue de leur présenter les données collectées pour validation d’une part, et pour implication dans la modélisation du D</w:t>
      </w:r>
      <w:r>
        <w:rPr>
          <w:rFonts w:eastAsia="Calibri"/>
        </w:rPr>
        <w:t xml:space="preserve">emDiv </w:t>
      </w:r>
      <w:r w:rsidRPr="004374EB">
        <w:rPr>
          <w:rFonts w:eastAsia="Calibri"/>
        </w:rPr>
        <w:t>d’autre part. Conçu dans une démarche très participative, l’atelier visait également un transfert de compétences aux acteurs nationaux et une sensibilisa</w:t>
      </w:r>
      <w:r>
        <w:rPr>
          <w:rFonts w:eastAsia="Calibri"/>
        </w:rPr>
        <w:t>tion sur la modélisation du DemDiv</w:t>
      </w:r>
      <w:r w:rsidRPr="004374EB">
        <w:rPr>
          <w:rFonts w:eastAsia="Calibri"/>
        </w:rPr>
        <w:t>. Il convient de noter que lorsque les indicateurs recherchés n’étaient pas disponibles auprès des producteurs nationaux, le recours aux sources officielles internationales était privilégié. Il s’agissait notamment des structures telles que la Banque mondiale ou le</w:t>
      </w:r>
      <w:r>
        <w:rPr>
          <w:rFonts w:eastAsia="Calibri"/>
        </w:rPr>
        <w:t>s organismes des Nations Unies.</w:t>
      </w:r>
    </w:p>
    <w:p w:rsidR="00FD24EA" w:rsidRPr="004374EB" w:rsidRDefault="00FD24EA" w:rsidP="00FD24EA">
      <w:pPr>
        <w:autoSpaceDE w:val="0"/>
        <w:autoSpaceDN w:val="0"/>
        <w:adjustRightInd w:val="0"/>
        <w:spacing w:before="240"/>
        <w:jc w:val="both"/>
        <w:rPr>
          <w:rFonts w:eastAsia="Calibri"/>
        </w:rPr>
      </w:pPr>
      <w:r w:rsidRPr="004374EB">
        <w:rPr>
          <w:rFonts w:eastAsia="Calibri"/>
          <w:b/>
          <w:bCs/>
        </w:rPr>
        <w:t xml:space="preserve">PRODUCTION DU RAPPORT SUR LA MODELISATION DU DIVIDENDE DEMOGRAPHIQUE AU CAMEROUN </w:t>
      </w:r>
    </w:p>
    <w:p w:rsidR="00FD24EA" w:rsidRPr="004374EB" w:rsidRDefault="00FD24EA" w:rsidP="00FD24EA">
      <w:pPr>
        <w:autoSpaceDE w:val="0"/>
        <w:autoSpaceDN w:val="0"/>
        <w:adjustRightInd w:val="0"/>
        <w:spacing w:before="240"/>
        <w:jc w:val="both"/>
        <w:rPr>
          <w:rFonts w:eastAsia="Calibri"/>
        </w:rPr>
      </w:pPr>
      <w:r w:rsidRPr="004374EB">
        <w:rPr>
          <w:rFonts w:eastAsia="Calibri"/>
        </w:rPr>
        <w:t xml:space="preserve">Compte tenu des </w:t>
      </w:r>
      <w:r w:rsidR="004B51E1">
        <w:rPr>
          <w:rFonts w:eastAsia="Calibri"/>
        </w:rPr>
        <w:t>termes de référence</w:t>
      </w:r>
      <w:r w:rsidRPr="004374EB">
        <w:rPr>
          <w:rFonts w:eastAsia="Calibri"/>
        </w:rPr>
        <w:t xml:space="preserve">, l’atelier a permis de mettre à la disposition de l’équipe de l’IFORD des données nécessaires à la production du rapport sur la modélisation. Les premiers résultats ont été présentés lors de l’atelier organisé à </w:t>
      </w:r>
      <w:proofErr w:type="spellStart"/>
      <w:r w:rsidRPr="004374EB">
        <w:rPr>
          <w:rFonts w:eastAsia="Calibri"/>
        </w:rPr>
        <w:t>Mbalmayo</w:t>
      </w:r>
      <w:proofErr w:type="spellEnd"/>
      <w:r w:rsidRPr="004374EB">
        <w:rPr>
          <w:rFonts w:eastAsia="Calibri"/>
        </w:rPr>
        <w:t xml:space="preserve"> par le MINEPAT du 22 au 25 novembre </w:t>
      </w:r>
      <w:r>
        <w:rPr>
          <w:rFonts w:eastAsia="Calibri"/>
        </w:rPr>
        <w:t>2016</w:t>
      </w:r>
      <w:r w:rsidRPr="004374EB">
        <w:rPr>
          <w:rFonts w:eastAsia="Calibri"/>
        </w:rPr>
        <w:t>. Les observations formulées et les suggestions portées à l’attention de l’équipe de l’IFORD par les participants à cet atelier ont perm</w:t>
      </w:r>
      <w:r>
        <w:rPr>
          <w:rFonts w:eastAsia="Calibri"/>
        </w:rPr>
        <w:t>is d’enrichir le rapport provisoire.</w:t>
      </w:r>
    </w:p>
    <w:p w:rsidR="00FD24EA" w:rsidRPr="004374EB" w:rsidRDefault="00FD24EA" w:rsidP="00FD24EA">
      <w:pPr>
        <w:autoSpaceDE w:val="0"/>
        <w:autoSpaceDN w:val="0"/>
        <w:adjustRightInd w:val="0"/>
        <w:spacing w:before="240"/>
        <w:jc w:val="both"/>
        <w:rPr>
          <w:rFonts w:eastAsia="Calibri"/>
        </w:rPr>
      </w:pPr>
      <w:r w:rsidRPr="004374EB">
        <w:rPr>
          <w:rFonts w:eastAsia="Calibri"/>
          <w:b/>
          <w:bCs/>
        </w:rPr>
        <w:t>CONCLUSION</w:t>
      </w:r>
    </w:p>
    <w:p w:rsidR="00FD24EA" w:rsidRDefault="00FD24EA" w:rsidP="00FD24EA">
      <w:pPr>
        <w:spacing w:before="240"/>
        <w:jc w:val="both"/>
        <w:rPr>
          <w:rFonts w:eastAsia="Calibri"/>
        </w:rPr>
      </w:pPr>
      <w:r w:rsidRPr="004374EB">
        <w:rPr>
          <w:rFonts w:eastAsia="Calibri"/>
        </w:rPr>
        <w:t>L’objectif de cette étude était de contribuer à rendre disponibles les informations stratégiques sur les divers scénarii d’évolution des indicateurs liés à la population et au développement. Les résultats de l’étude ont permis de montrer qu’il est urgent pour le Cameroun d’opter pour le bénéfice du dividende démographique, en investissant massivement et durablement dans la santé, l’éducation et l’économie. Les résultats obtenus pourront aider à soutenir les politiques publiques dans le cadre de la réalisation du dividende démographique au Cameroun.</w:t>
      </w:r>
      <w:r>
        <w:rPr>
          <w:rFonts w:eastAsia="Calibri"/>
        </w:rPr>
        <w:br w:type="page"/>
      </w:r>
    </w:p>
    <w:p w:rsidR="00FD24EA" w:rsidRDefault="001B42C2" w:rsidP="00FD24EA">
      <w:pPr>
        <w:spacing w:before="240"/>
        <w:jc w:val="both"/>
        <w:rPr>
          <w:b/>
          <w:bCs/>
          <w:sz w:val="23"/>
          <w:szCs w:val="23"/>
        </w:rPr>
      </w:pPr>
      <w:r>
        <w:rPr>
          <w:b/>
          <w:bCs/>
          <w:sz w:val="23"/>
          <w:szCs w:val="23"/>
        </w:rPr>
        <w:lastRenderedPageBreak/>
        <w:t>Tableau A1</w:t>
      </w:r>
      <w:r w:rsidR="004B51E1">
        <w:rPr>
          <w:b/>
          <w:bCs/>
          <w:sz w:val="23"/>
          <w:szCs w:val="23"/>
        </w:rPr>
        <w:t>3</w:t>
      </w:r>
      <w:r w:rsidR="00FD24EA" w:rsidRPr="00B54660">
        <w:rPr>
          <w:b/>
          <w:bCs/>
          <w:sz w:val="23"/>
          <w:szCs w:val="23"/>
        </w:rPr>
        <w:t>.</w:t>
      </w:r>
      <w:r w:rsidR="00FD24EA">
        <w:rPr>
          <w:b/>
          <w:bCs/>
          <w:sz w:val="23"/>
          <w:szCs w:val="23"/>
        </w:rPr>
        <w:t xml:space="preserve"> Liste des p</w:t>
      </w:r>
      <w:r w:rsidR="00FD24EA" w:rsidRPr="00B54660">
        <w:rPr>
          <w:b/>
          <w:bCs/>
          <w:sz w:val="23"/>
          <w:szCs w:val="23"/>
        </w:rPr>
        <w:t>articipants à la réunion des producteurs de données</w:t>
      </w:r>
    </w:p>
    <w:p w:rsidR="001B42C2" w:rsidRDefault="001B42C2" w:rsidP="00FD24EA">
      <w:pPr>
        <w:spacing w:before="240"/>
        <w:jc w:val="both"/>
        <w:rPr>
          <w:b/>
          <w:bCs/>
          <w:sz w:val="23"/>
          <w:szCs w:val="23"/>
        </w:rPr>
      </w:pPr>
    </w:p>
    <w:tbl>
      <w:tblPr>
        <w:tblStyle w:val="Grilledutableau"/>
        <w:tblW w:w="9606" w:type="dxa"/>
        <w:tblLayout w:type="fixed"/>
        <w:tblLook w:val="04A0"/>
      </w:tblPr>
      <w:tblGrid>
        <w:gridCol w:w="534"/>
        <w:gridCol w:w="3118"/>
        <w:gridCol w:w="1559"/>
        <w:gridCol w:w="4395"/>
      </w:tblGrid>
      <w:tr w:rsidR="001B42C2" w:rsidTr="007A19C5">
        <w:tc>
          <w:tcPr>
            <w:tcW w:w="534" w:type="dxa"/>
          </w:tcPr>
          <w:p w:rsidR="001B42C2" w:rsidRDefault="001B42C2" w:rsidP="004F4C95">
            <w:pPr>
              <w:jc w:val="both"/>
              <w:rPr>
                <w:b/>
                <w:bCs/>
                <w:sz w:val="23"/>
                <w:szCs w:val="23"/>
              </w:rPr>
            </w:pPr>
            <w:r>
              <w:rPr>
                <w:b/>
                <w:bCs/>
                <w:sz w:val="23"/>
                <w:szCs w:val="23"/>
              </w:rPr>
              <w:t>N</w:t>
            </w:r>
            <w:r>
              <w:rPr>
                <w:rFonts w:cs="Times New Roman"/>
                <w:b/>
                <w:bCs/>
                <w:sz w:val="23"/>
                <w:szCs w:val="23"/>
              </w:rPr>
              <w:t>º</w:t>
            </w:r>
          </w:p>
        </w:tc>
        <w:tc>
          <w:tcPr>
            <w:tcW w:w="3118" w:type="dxa"/>
          </w:tcPr>
          <w:p w:rsidR="001B42C2" w:rsidRDefault="001B42C2" w:rsidP="00FD24EA">
            <w:pPr>
              <w:jc w:val="both"/>
              <w:rPr>
                <w:b/>
                <w:bCs/>
                <w:sz w:val="23"/>
                <w:szCs w:val="23"/>
              </w:rPr>
            </w:pPr>
            <w:r>
              <w:rPr>
                <w:b/>
                <w:bCs/>
                <w:sz w:val="23"/>
                <w:szCs w:val="23"/>
              </w:rPr>
              <w:t>Nom et prénoms</w:t>
            </w:r>
          </w:p>
        </w:tc>
        <w:tc>
          <w:tcPr>
            <w:tcW w:w="1559" w:type="dxa"/>
          </w:tcPr>
          <w:p w:rsidR="001B42C2" w:rsidRDefault="001B42C2" w:rsidP="00FD24EA">
            <w:pPr>
              <w:jc w:val="both"/>
              <w:rPr>
                <w:b/>
                <w:bCs/>
                <w:sz w:val="23"/>
                <w:szCs w:val="23"/>
              </w:rPr>
            </w:pPr>
            <w:r>
              <w:rPr>
                <w:b/>
                <w:bCs/>
                <w:sz w:val="23"/>
                <w:szCs w:val="23"/>
              </w:rPr>
              <w:t>Structure</w:t>
            </w:r>
          </w:p>
        </w:tc>
        <w:tc>
          <w:tcPr>
            <w:tcW w:w="4395" w:type="dxa"/>
          </w:tcPr>
          <w:p w:rsidR="001B42C2" w:rsidRDefault="001B42C2" w:rsidP="00FD24EA">
            <w:pPr>
              <w:jc w:val="both"/>
              <w:rPr>
                <w:b/>
                <w:bCs/>
                <w:sz w:val="23"/>
                <w:szCs w:val="23"/>
              </w:rPr>
            </w:pPr>
            <w:r>
              <w:rPr>
                <w:b/>
                <w:bCs/>
                <w:sz w:val="23"/>
                <w:szCs w:val="23"/>
              </w:rPr>
              <w:t>Fonction</w:t>
            </w:r>
          </w:p>
        </w:tc>
      </w:tr>
      <w:tr w:rsidR="001B42C2" w:rsidTr="007A19C5">
        <w:trPr>
          <w:trHeight w:val="259"/>
        </w:trPr>
        <w:tc>
          <w:tcPr>
            <w:tcW w:w="534" w:type="dxa"/>
          </w:tcPr>
          <w:p w:rsidR="001B42C2" w:rsidRPr="00454BF3" w:rsidRDefault="00116899" w:rsidP="00FD24EA">
            <w:pPr>
              <w:jc w:val="both"/>
              <w:rPr>
                <w:bCs/>
                <w:sz w:val="23"/>
                <w:szCs w:val="23"/>
              </w:rPr>
            </w:pPr>
            <w:r w:rsidRPr="00116899">
              <w:rPr>
                <w:bCs/>
                <w:sz w:val="23"/>
                <w:szCs w:val="23"/>
              </w:rPr>
              <w:t>1</w:t>
            </w:r>
          </w:p>
        </w:tc>
        <w:tc>
          <w:tcPr>
            <w:tcW w:w="3118" w:type="dxa"/>
          </w:tcPr>
          <w:p w:rsidR="001B42C2" w:rsidRPr="00454BF3" w:rsidRDefault="00116899" w:rsidP="00FD24EA">
            <w:pPr>
              <w:jc w:val="both"/>
              <w:rPr>
                <w:bCs/>
                <w:sz w:val="23"/>
                <w:szCs w:val="23"/>
              </w:rPr>
            </w:pPr>
            <w:r w:rsidRPr="00116899">
              <w:rPr>
                <w:bCs/>
                <w:sz w:val="23"/>
                <w:szCs w:val="23"/>
              </w:rPr>
              <w:t xml:space="preserve">Oum </w:t>
            </w:r>
            <w:proofErr w:type="spellStart"/>
            <w:r w:rsidRPr="00116899">
              <w:rPr>
                <w:bCs/>
                <w:sz w:val="23"/>
                <w:szCs w:val="23"/>
              </w:rPr>
              <w:t>Eloma</w:t>
            </w:r>
            <w:proofErr w:type="spellEnd"/>
            <w:r w:rsidRPr="00116899">
              <w:rPr>
                <w:bCs/>
                <w:sz w:val="23"/>
                <w:szCs w:val="23"/>
              </w:rPr>
              <w:t xml:space="preserve"> Janvier</w:t>
            </w:r>
          </w:p>
        </w:tc>
        <w:tc>
          <w:tcPr>
            <w:tcW w:w="1559" w:type="dxa"/>
          </w:tcPr>
          <w:p w:rsidR="001B42C2" w:rsidRPr="00454BF3" w:rsidRDefault="00116899" w:rsidP="00FD24EA">
            <w:pPr>
              <w:jc w:val="both"/>
              <w:rPr>
                <w:bCs/>
                <w:sz w:val="23"/>
                <w:szCs w:val="23"/>
              </w:rPr>
            </w:pPr>
            <w:r w:rsidRPr="00116899">
              <w:rPr>
                <w:bCs/>
                <w:sz w:val="23"/>
                <w:szCs w:val="23"/>
              </w:rPr>
              <w:t>MINEPAT</w:t>
            </w:r>
          </w:p>
        </w:tc>
        <w:tc>
          <w:tcPr>
            <w:tcW w:w="4395" w:type="dxa"/>
          </w:tcPr>
          <w:p w:rsidR="001B42C2" w:rsidRPr="00454BF3" w:rsidRDefault="00116899" w:rsidP="00FD24EA">
            <w:pPr>
              <w:jc w:val="both"/>
              <w:rPr>
                <w:bCs/>
                <w:sz w:val="23"/>
                <w:szCs w:val="23"/>
              </w:rPr>
            </w:pPr>
            <w:r w:rsidRPr="00116899">
              <w:rPr>
                <w:bCs/>
                <w:sz w:val="23"/>
                <w:szCs w:val="23"/>
              </w:rPr>
              <w:t>DGPAT</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2</w:t>
            </w:r>
          </w:p>
        </w:tc>
        <w:tc>
          <w:tcPr>
            <w:tcW w:w="3118" w:type="dxa"/>
          </w:tcPr>
          <w:p w:rsidR="001560F8" w:rsidRPr="00454BF3" w:rsidRDefault="00116899" w:rsidP="00FD24EA">
            <w:pPr>
              <w:jc w:val="both"/>
              <w:rPr>
                <w:bCs/>
                <w:sz w:val="23"/>
                <w:szCs w:val="23"/>
              </w:rPr>
            </w:pPr>
            <w:proofErr w:type="spellStart"/>
            <w:r w:rsidRPr="00116899">
              <w:rPr>
                <w:bCs/>
                <w:sz w:val="23"/>
                <w:szCs w:val="23"/>
              </w:rPr>
              <w:t>Alioum</w:t>
            </w:r>
            <w:proofErr w:type="spellEnd"/>
            <w:r w:rsidRPr="00116899">
              <w:rPr>
                <w:bCs/>
                <w:sz w:val="23"/>
                <w:szCs w:val="23"/>
              </w:rPr>
              <w:t xml:space="preserve"> Abdoulaye</w:t>
            </w:r>
          </w:p>
        </w:tc>
        <w:tc>
          <w:tcPr>
            <w:tcW w:w="1559" w:type="dxa"/>
          </w:tcPr>
          <w:p w:rsidR="001560F8" w:rsidRPr="00454BF3" w:rsidRDefault="00116899" w:rsidP="00FD24EA">
            <w:pPr>
              <w:jc w:val="both"/>
              <w:rPr>
                <w:bCs/>
                <w:sz w:val="23"/>
                <w:szCs w:val="23"/>
              </w:rPr>
            </w:pPr>
            <w:r w:rsidRPr="00116899">
              <w:rPr>
                <w:bCs/>
                <w:sz w:val="23"/>
                <w:szCs w:val="23"/>
              </w:rPr>
              <w:t>MINEPAT</w:t>
            </w:r>
          </w:p>
        </w:tc>
        <w:tc>
          <w:tcPr>
            <w:tcW w:w="4395" w:type="dxa"/>
          </w:tcPr>
          <w:p w:rsidR="001560F8" w:rsidRPr="00454BF3" w:rsidRDefault="00116899" w:rsidP="00FD24EA">
            <w:pPr>
              <w:jc w:val="both"/>
              <w:rPr>
                <w:bCs/>
                <w:sz w:val="23"/>
                <w:szCs w:val="23"/>
              </w:rPr>
            </w:pPr>
            <w:r w:rsidRPr="00116899">
              <w:rPr>
                <w:bCs/>
                <w:sz w:val="23"/>
                <w:szCs w:val="23"/>
              </w:rPr>
              <w:t>DADM</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3</w:t>
            </w:r>
          </w:p>
        </w:tc>
        <w:tc>
          <w:tcPr>
            <w:tcW w:w="3118" w:type="dxa"/>
          </w:tcPr>
          <w:p w:rsidR="001560F8" w:rsidRPr="00454BF3" w:rsidRDefault="00116899" w:rsidP="00FD24EA">
            <w:pPr>
              <w:jc w:val="both"/>
              <w:rPr>
                <w:bCs/>
                <w:sz w:val="23"/>
                <w:szCs w:val="23"/>
              </w:rPr>
            </w:pPr>
            <w:proofErr w:type="spellStart"/>
            <w:r w:rsidRPr="00116899">
              <w:rPr>
                <w:bCs/>
                <w:sz w:val="23"/>
                <w:szCs w:val="23"/>
              </w:rPr>
              <w:t>Kuab</w:t>
            </w:r>
            <w:r w:rsidR="00972F1A">
              <w:rPr>
                <w:bCs/>
                <w:sz w:val="23"/>
                <w:szCs w:val="23"/>
              </w:rPr>
              <w:t>ena</w:t>
            </w:r>
            <w:r w:rsidRPr="00116899">
              <w:rPr>
                <w:bCs/>
                <w:sz w:val="23"/>
                <w:szCs w:val="23"/>
              </w:rPr>
              <w:t>e</w:t>
            </w:r>
            <w:proofErr w:type="spellEnd"/>
            <w:r w:rsidRPr="00116899">
              <w:rPr>
                <w:bCs/>
                <w:sz w:val="23"/>
                <w:szCs w:val="23"/>
              </w:rPr>
              <w:t xml:space="preserve"> Assante</w:t>
            </w:r>
            <w:r w:rsidR="00972F1A">
              <w:rPr>
                <w:bCs/>
                <w:sz w:val="23"/>
                <w:szCs w:val="23"/>
              </w:rPr>
              <w:t>-</w:t>
            </w:r>
            <w:r w:rsidR="00972F1A" w:rsidRPr="00972F1A">
              <w:rPr>
                <w:bCs/>
                <w:sz w:val="23"/>
                <w:szCs w:val="23"/>
              </w:rPr>
              <w:t>Ntiamoah</w:t>
            </w:r>
          </w:p>
        </w:tc>
        <w:tc>
          <w:tcPr>
            <w:tcW w:w="1559" w:type="dxa"/>
          </w:tcPr>
          <w:p w:rsidR="001560F8" w:rsidRPr="00454BF3" w:rsidRDefault="00116899" w:rsidP="00FD24EA">
            <w:pPr>
              <w:jc w:val="both"/>
              <w:rPr>
                <w:bCs/>
                <w:sz w:val="23"/>
                <w:szCs w:val="23"/>
              </w:rPr>
            </w:pPr>
            <w:r w:rsidRPr="00116899">
              <w:rPr>
                <w:bCs/>
                <w:sz w:val="23"/>
                <w:szCs w:val="23"/>
              </w:rPr>
              <w:t>UNFPA</w:t>
            </w:r>
          </w:p>
        </w:tc>
        <w:tc>
          <w:tcPr>
            <w:tcW w:w="4395" w:type="dxa"/>
          </w:tcPr>
          <w:p w:rsidR="001560F8" w:rsidRPr="00454BF3" w:rsidRDefault="00116899" w:rsidP="00FD24EA">
            <w:pPr>
              <w:jc w:val="both"/>
              <w:rPr>
                <w:bCs/>
                <w:sz w:val="23"/>
                <w:szCs w:val="23"/>
              </w:rPr>
            </w:pPr>
            <w:proofErr w:type="spellStart"/>
            <w:r w:rsidRPr="00116899">
              <w:rPr>
                <w:bCs/>
                <w:sz w:val="23"/>
                <w:szCs w:val="23"/>
              </w:rPr>
              <w:t>Deputy</w:t>
            </w:r>
            <w:proofErr w:type="spellEnd"/>
          </w:p>
        </w:tc>
      </w:tr>
      <w:tr w:rsidR="001560F8" w:rsidTr="007A19C5">
        <w:tc>
          <w:tcPr>
            <w:tcW w:w="534" w:type="dxa"/>
          </w:tcPr>
          <w:p w:rsidR="001560F8" w:rsidRPr="00454BF3" w:rsidRDefault="00116899" w:rsidP="00FD24EA">
            <w:pPr>
              <w:jc w:val="both"/>
              <w:rPr>
                <w:bCs/>
                <w:sz w:val="23"/>
                <w:szCs w:val="23"/>
              </w:rPr>
            </w:pPr>
            <w:r w:rsidRPr="00116899">
              <w:rPr>
                <w:bCs/>
                <w:sz w:val="23"/>
                <w:szCs w:val="23"/>
              </w:rPr>
              <w:t>4</w:t>
            </w:r>
          </w:p>
        </w:tc>
        <w:tc>
          <w:tcPr>
            <w:tcW w:w="3118" w:type="dxa"/>
          </w:tcPr>
          <w:p w:rsidR="001560F8" w:rsidRPr="00454BF3" w:rsidRDefault="00116899" w:rsidP="00FD24EA">
            <w:pPr>
              <w:jc w:val="both"/>
              <w:rPr>
                <w:bCs/>
                <w:sz w:val="23"/>
                <w:szCs w:val="23"/>
              </w:rPr>
            </w:pPr>
            <w:proofErr w:type="spellStart"/>
            <w:r w:rsidRPr="00116899">
              <w:rPr>
                <w:bCs/>
                <w:sz w:val="23"/>
                <w:szCs w:val="23"/>
              </w:rPr>
              <w:t>Ohamba</w:t>
            </w:r>
            <w:proofErr w:type="spellEnd"/>
            <w:r w:rsidRPr="00116899">
              <w:rPr>
                <w:bCs/>
                <w:sz w:val="23"/>
                <w:szCs w:val="23"/>
              </w:rPr>
              <w:t xml:space="preserve"> </w:t>
            </w:r>
            <w:proofErr w:type="spellStart"/>
            <w:r w:rsidRPr="00116899">
              <w:rPr>
                <w:bCs/>
                <w:sz w:val="23"/>
                <w:szCs w:val="23"/>
              </w:rPr>
              <w:t>Bekono</w:t>
            </w:r>
            <w:proofErr w:type="spellEnd"/>
          </w:p>
        </w:tc>
        <w:tc>
          <w:tcPr>
            <w:tcW w:w="1559" w:type="dxa"/>
          </w:tcPr>
          <w:p w:rsidR="001560F8" w:rsidRPr="00454BF3" w:rsidRDefault="00116899" w:rsidP="00FD24EA">
            <w:pPr>
              <w:jc w:val="both"/>
              <w:rPr>
                <w:bCs/>
                <w:sz w:val="23"/>
                <w:szCs w:val="23"/>
              </w:rPr>
            </w:pPr>
            <w:r w:rsidRPr="00116899">
              <w:rPr>
                <w:bCs/>
                <w:sz w:val="23"/>
                <w:szCs w:val="23"/>
              </w:rPr>
              <w:t>MINFI</w:t>
            </w:r>
          </w:p>
        </w:tc>
        <w:tc>
          <w:tcPr>
            <w:tcW w:w="4395" w:type="dxa"/>
          </w:tcPr>
          <w:p w:rsidR="001560F8" w:rsidRPr="00454BF3" w:rsidRDefault="00116899" w:rsidP="00AB567C">
            <w:pPr>
              <w:jc w:val="both"/>
              <w:rPr>
                <w:bCs/>
                <w:sz w:val="23"/>
                <w:szCs w:val="23"/>
              </w:rPr>
            </w:pPr>
            <w:r w:rsidRPr="00116899">
              <w:rPr>
                <w:bCs/>
                <w:sz w:val="23"/>
                <w:szCs w:val="23"/>
              </w:rPr>
              <w:t>Chef de département</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5</w:t>
            </w:r>
          </w:p>
        </w:tc>
        <w:tc>
          <w:tcPr>
            <w:tcW w:w="3118" w:type="dxa"/>
          </w:tcPr>
          <w:p w:rsidR="001560F8" w:rsidRPr="00454BF3" w:rsidRDefault="00116899" w:rsidP="00FD24EA">
            <w:pPr>
              <w:jc w:val="both"/>
              <w:rPr>
                <w:bCs/>
                <w:sz w:val="23"/>
                <w:szCs w:val="23"/>
              </w:rPr>
            </w:pPr>
            <w:proofErr w:type="spellStart"/>
            <w:r w:rsidRPr="00116899">
              <w:rPr>
                <w:bCs/>
                <w:sz w:val="23"/>
                <w:szCs w:val="23"/>
              </w:rPr>
              <w:t>Ela</w:t>
            </w:r>
            <w:proofErr w:type="spellEnd"/>
            <w:r w:rsidRPr="00116899">
              <w:rPr>
                <w:bCs/>
                <w:sz w:val="23"/>
                <w:szCs w:val="23"/>
              </w:rPr>
              <w:t xml:space="preserve"> </w:t>
            </w:r>
            <w:proofErr w:type="spellStart"/>
            <w:r w:rsidRPr="00116899">
              <w:rPr>
                <w:bCs/>
                <w:sz w:val="23"/>
                <w:szCs w:val="23"/>
              </w:rPr>
              <w:t>Ela</w:t>
            </w:r>
            <w:proofErr w:type="spellEnd"/>
            <w:r w:rsidRPr="00116899">
              <w:rPr>
                <w:bCs/>
                <w:sz w:val="23"/>
                <w:szCs w:val="23"/>
              </w:rPr>
              <w:t xml:space="preserve"> Amos</w:t>
            </w:r>
          </w:p>
        </w:tc>
        <w:tc>
          <w:tcPr>
            <w:tcW w:w="1559" w:type="dxa"/>
          </w:tcPr>
          <w:p w:rsidR="001560F8" w:rsidRPr="00454BF3" w:rsidRDefault="00116899" w:rsidP="00FD24EA">
            <w:pPr>
              <w:jc w:val="both"/>
              <w:rPr>
                <w:bCs/>
                <w:sz w:val="23"/>
                <w:szCs w:val="23"/>
              </w:rPr>
            </w:pPr>
            <w:r w:rsidRPr="00116899">
              <w:rPr>
                <w:bCs/>
                <w:sz w:val="23"/>
                <w:szCs w:val="23"/>
              </w:rPr>
              <w:t>FNE</w:t>
            </w:r>
          </w:p>
        </w:tc>
        <w:tc>
          <w:tcPr>
            <w:tcW w:w="4395" w:type="dxa"/>
          </w:tcPr>
          <w:p w:rsidR="001560F8" w:rsidRPr="00454BF3" w:rsidRDefault="00116899" w:rsidP="00FD24EA">
            <w:pPr>
              <w:jc w:val="both"/>
              <w:rPr>
                <w:bCs/>
                <w:sz w:val="23"/>
                <w:szCs w:val="23"/>
              </w:rPr>
            </w:pPr>
            <w:r w:rsidRPr="00116899">
              <w:rPr>
                <w:bCs/>
                <w:sz w:val="23"/>
                <w:szCs w:val="23"/>
              </w:rPr>
              <w:t>Directeur informatique</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6</w:t>
            </w:r>
          </w:p>
        </w:tc>
        <w:tc>
          <w:tcPr>
            <w:tcW w:w="3118" w:type="dxa"/>
          </w:tcPr>
          <w:p w:rsidR="001560F8" w:rsidRPr="00454BF3" w:rsidRDefault="00116899" w:rsidP="00FD24EA">
            <w:pPr>
              <w:jc w:val="both"/>
              <w:rPr>
                <w:bCs/>
                <w:sz w:val="23"/>
                <w:szCs w:val="23"/>
              </w:rPr>
            </w:pPr>
            <w:r w:rsidRPr="00116899">
              <w:rPr>
                <w:bCs/>
                <w:sz w:val="23"/>
                <w:szCs w:val="23"/>
              </w:rPr>
              <w:t xml:space="preserve">Ngo </w:t>
            </w:r>
            <w:proofErr w:type="spellStart"/>
            <w:r w:rsidRPr="00116899">
              <w:rPr>
                <w:bCs/>
                <w:sz w:val="23"/>
                <w:szCs w:val="23"/>
              </w:rPr>
              <w:t>Nsoa</w:t>
            </w:r>
            <w:proofErr w:type="spellEnd"/>
            <w:r w:rsidRPr="00116899">
              <w:rPr>
                <w:bCs/>
                <w:sz w:val="23"/>
                <w:szCs w:val="23"/>
              </w:rPr>
              <w:t xml:space="preserve"> Pauline</w:t>
            </w:r>
          </w:p>
        </w:tc>
        <w:tc>
          <w:tcPr>
            <w:tcW w:w="1559" w:type="dxa"/>
          </w:tcPr>
          <w:p w:rsidR="001560F8" w:rsidRPr="00454BF3" w:rsidRDefault="00116899" w:rsidP="00FD24EA">
            <w:pPr>
              <w:jc w:val="both"/>
              <w:rPr>
                <w:bCs/>
                <w:sz w:val="23"/>
                <w:szCs w:val="23"/>
              </w:rPr>
            </w:pPr>
            <w:r w:rsidRPr="00116899">
              <w:rPr>
                <w:bCs/>
                <w:sz w:val="23"/>
                <w:szCs w:val="23"/>
              </w:rPr>
              <w:t>MINEPAT</w:t>
            </w:r>
          </w:p>
        </w:tc>
        <w:tc>
          <w:tcPr>
            <w:tcW w:w="4395" w:type="dxa"/>
          </w:tcPr>
          <w:p w:rsidR="001560F8" w:rsidRPr="00454BF3" w:rsidRDefault="00116899" w:rsidP="00FD24EA">
            <w:pPr>
              <w:jc w:val="both"/>
              <w:rPr>
                <w:bCs/>
                <w:sz w:val="23"/>
                <w:szCs w:val="23"/>
              </w:rPr>
            </w:pPr>
            <w:r w:rsidRPr="00116899">
              <w:rPr>
                <w:bCs/>
                <w:sz w:val="23"/>
                <w:szCs w:val="23"/>
              </w:rPr>
              <w:t>CEA1</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7</w:t>
            </w:r>
          </w:p>
        </w:tc>
        <w:tc>
          <w:tcPr>
            <w:tcW w:w="3118" w:type="dxa"/>
          </w:tcPr>
          <w:p w:rsidR="001560F8" w:rsidRPr="00454BF3" w:rsidRDefault="00116899" w:rsidP="00FD24EA">
            <w:pPr>
              <w:jc w:val="both"/>
              <w:rPr>
                <w:bCs/>
                <w:sz w:val="23"/>
                <w:szCs w:val="23"/>
              </w:rPr>
            </w:pPr>
            <w:r w:rsidRPr="00116899">
              <w:rPr>
                <w:bCs/>
                <w:sz w:val="23"/>
                <w:szCs w:val="23"/>
              </w:rPr>
              <w:t xml:space="preserve">Serge </w:t>
            </w:r>
            <w:proofErr w:type="spellStart"/>
            <w:r w:rsidRPr="00116899">
              <w:rPr>
                <w:bCs/>
                <w:sz w:val="23"/>
                <w:szCs w:val="23"/>
              </w:rPr>
              <w:t>Bataliack</w:t>
            </w:r>
            <w:proofErr w:type="spellEnd"/>
          </w:p>
        </w:tc>
        <w:tc>
          <w:tcPr>
            <w:tcW w:w="1559" w:type="dxa"/>
          </w:tcPr>
          <w:p w:rsidR="001560F8" w:rsidRPr="00454BF3" w:rsidRDefault="00116899" w:rsidP="00FD24EA">
            <w:pPr>
              <w:jc w:val="both"/>
              <w:rPr>
                <w:bCs/>
                <w:sz w:val="23"/>
                <w:szCs w:val="23"/>
              </w:rPr>
            </w:pPr>
            <w:r w:rsidRPr="00116899">
              <w:rPr>
                <w:bCs/>
                <w:sz w:val="23"/>
                <w:szCs w:val="23"/>
              </w:rPr>
              <w:t>OMS</w:t>
            </w:r>
          </w:p>
        </w:tc>
        <w:tc>
          <w:tcPr>
            <w:tcW w:w="4395" w:type="dxa"/>
          </w:tcPr>
          <w:p w:rsidR="001560F8" w:rsidRPr="00454BF3" w:rsidRDefault="00116899" w:rsidP="00FD24EA">
            <w:pPr>
              <w:jc w:val="both"/>
              <w:rPr>
                <w:bCs/>
                <w:sz w:val="23"/>
                <w:szCs w:val="23"/>
              </w:rPr>
            </w:pPr>
            <w:r w:rsidRPr="00116899">
              <w:rPr>
                <w:bCs/>
                <w:sz w:val="23"/>
                <w:szCs w:val="23"/>
              </w:rPr>
              <w:t>Chargé de programme</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8</w:t>
            </w:r>
          </w:p>
        </w:tc>
        <w:tc>
          <w:tcPr>
            <w:tcW w:w="3118" w:type="dxa"/>
          </w:tcPr>
          <w:p w:rsidR="001560F8" w:rsidRPr="00454BF3" w:rsidRDefault="00116899" w:rsidP="00FD24EA">
            <w:pPr>
              <w:jc w:val="both"/>
              <w:rPr>
                <w:bCs/>
                <w:sz w:val="23"/>
                <w:szCs w:val="23"/>
              </w:rPr>
            </w:pPr>
            <w:proofErr w:type="spellStart"/>
            <w:r w:rsidRPr="00116899">
              <w:rPr>
                <w:bCs/>
                <w:sz w:val="23"/>
                <w:szCs w:val="23"/>
              </w:rPr>
              <w:t>Seukap</w:t>
            </w:r>
            <w:proofErr w:type="spellEnd"/>
            <w:r w:rsidRPr="00116899">
              <w:rPr>
                <w:bCs/>
                <w:sz w:val="23"/>
                <w:szCs w:val="23"/>
              </w:rPr>
              <w:t xml:space="preserve"> Roger</w:t>
            </w:r>
          </w:p>
        </w:tc>
        <w:tc>
          <w:tcPr>
            <w:tcW w:w="1559" w:type="dxa"/>
          </w:tcPr>
          <w:p w:rsidR="001560F8" w:rsidRPr="00454BF3" w:rsidRDefault="00116899" w:rsidP="00FD24EA">
            <w:pPr>
              <w:jc w:val="both"/>
              <w:rPr>
                <w:bCs/>
                <w:sz w:val="23"/>
                <w:szCs w:val="23"/>
              </w:rPr>
            </w:pPr>
            <w:r w:rsidRPr="00116899">
              <w:rPr>
                <w:bCs/>
                <w:sz w:val="23"/>
                <w:szCs w:val="23"/>
              </w:rPr>
              <w:t>UNFPA</w:t>
            </w:r>
          </w:p>
        </w:tc>
        <w:tc>
          <w:tcPr>
            <w:tcW w:w="4395" w:type="dxa"/>
          </w:tcPr>
          <w:p w:rsidR="001560F8" w:rsidRPr="00454BF3" w:rsidRDefault="00116899" w:rsidP="00FD24EA">
            <w:pPr>
              <w:jc w:val="both"/>
              <w:rPr>
                <w:bCs/>
                <w:sz w:val="23"/>
                <w:szCs w:val="23"/>
              </w:rPr>
            </w:pPr>
            <w:r w:rsidRPr="00116899">
              <w:rPr>
                <w:bCs/>
                <w:sz w:val="23"/>
                <w:szCs w:val="23"/>
              </w:rPr>
              <w:t>Chargé de programme population et développement</w:t>
            </w:r>
          </w:p>
        </w:tc>
      </w:tr>
      <w:tr w:rsidR="001560F8" w:rsidTr="007A19C5">
        <w:tc>
          <w:tcPr>
            <w:tcW w:w="534" w:type="dxa"/>
          </w:tcPr>
          <w:p w:rsidR="001560F8" w:rsidRPr="00454BF3" w:rsidRDefault="00116899" w:rsidP="00FD24EA">
            <w:pPr>
              <w:jc w:val="both"/>
              <w:rPr>
                <w:bCs/>
                <w:sz w:val="23"/>
                <w:szCs w:val="23"/>
              </w:rPr>
            </w:pPr>
            <w:r w:rsidRPr="00116899">
              <w:rPr>
                <w:bCs/>
                <w:sz w:val="23"/>
                <w:szCs w:val="23"/>
              </w:rPr>
              <w:t>9</w:t>
            </w:r>
          </w:p>
        </w:tc>
        <w:tc>
          <w:tcPr>
            <w:tcW w:w="3118" w:type="dxa"/>
          </w:tcPr>
          <w:p w:rsidR="001560F8" w:rsidRPr="00454BF3" w:rsidRDefault="00116899" w:rsidP="00FD24EA">
            <w:pPr>
              <w:jc w:val="both"/>
              <w:rPr>
                <w:bCs/>
                <w:sz w:val="23"/>
                <w:szCs w:val="23"/>
              </w:rPr>
            </w:pPr>
            <w:proofErr w:type="spellStart"/>
            <w:r w:rsidRPr="00116899">
              <w:rPr>
                <w:bCs/>
                <w:sz w:val="23"/>
                <w:szCs w:val="23"/>
              </w:rPr>
              <w:t>Tsafack</w:t>
            </w:r>
            <w:proofErr w:type="spellEnd"/>
            <w:r w:rsidRPr="00116899">
              <w:rPr>
                <w:bCs/>
                <w:sz w:val="23"/>
                <w:szCs w:val="23"/>
              </w:rPr>
              <w:t xml:space="preserve"> Martin</w:t>
            </w:r>
          </w:p>
        </w:tc>
        <w:tc>
          <w:tcPr>
            <w:tcW w:w="1559" w:type="dxa"/>
          </w:tcPr>
          <w:p w:rsidR="001560F8" w:rsidRPr="00454BF3" w:rsidRDefault="00116899" w:rsidP="00FD24EA">
            <w:pPr>
              <w:jc w:val="both"/>
              <w:rPr>
                <w:bCs/>
                <w:sz w:val="23"/>
                <w:szCs w:val="23"/>
              </w:rPr>
            </w:pPr>
            <w:r w:rsidRPr="00116899">
              <w:rPr>
                <w:bCs/>
                <w:sz w:val="23"/>
                <w:szCs w:val="23"/>
              </w:rPr>
              <w:t>BUCREP</w:t>
            </w:r>
          </w:p>
        </w:tc>
        <w:tc>
          <w:tcPr>
            <w:tcW w:w="4395" w:type="dxa"/>
          </w:tcPr>
          <w:p w:rsidR="001560F8" w:rsidRPr="00454BF3" w:rsidRDefault="00116899" w:rsidP="00FD24EA">
            <w:pPr>
              <w:jc w:val="both"/>
              <w:rPr>
                <w:bCs/>
                <w:sz w:val="23"/>
                <w:szCs w:val="23"/>
              </w:rPr>
            </w:pPr>
            <w:r w:rsidRPr="00116899">
              <w:rPr>
                <w:bCs/>
                <w:sz w:val="23"/>
                <w:szCs w:val="23"/>
              </w:rPr>
              <w:t>Chef de département</w:t>
            </w:r>
          </w:p>
        </w:tc>
      </w:tr>
      <w:tr w:rsidR="00F23DE7" w:rsidTr="007A19C5">
        <w:tc>
          <w:tcPr>
            <w:tcW w:w="534" w:type="dxa"/>
          </w:tcPr>
          <w:p w:rsidR="00F23DE7" w:rsidRPr="00454BF3" w:rsidRDefault="00116899" w:rsidP="00FD24EA">
            <w:pPr>
              <w:jc w:val="both"/>
              <w:rPr>
                <w:bCs/>
                <w:sz w:val="23"/>
                <w:szCs w:val="23"/>
              </w:rPr>
            </w:pPr>
            <w:r w:rsidRPr="00116899">
              <w:rPr>
                <w:bCs/>
                <w:sz w:val="23"/>
                <w:szCs w:val="23"/>
              </w:rPr>
              <w:t>10</w:t>
            </w:r>
          </w:p>
        </w:tc>
        <w:tc>
          <w:tcPr>
            <w:tcW w:w="3118" w:type="dxa"/>
          </w:tcPr>
          <w:p w:rsidR="00F23DE7" w:rsidRPr="00454BF3" w:rsidRDefault="00116899" w:rsidP="00FD24EA">
            <w:pPr>
              <w:jc w:val="both"/>
              <w:rPr>
                <w:bCs/>
                <w:sz w:val="23"/>
                <w:szCs w:val="23"/>
              </w:rPr>
            </w:pPr>
            <w:r w:rsidRPr="00116899">
              <w:rPr>
                <w:bCs/>
                <w:sz w:val="23"/>
                <w:szCs w:val="23"/>
              </w:rPr>
              <w:t>Dr Bouba Djourdebbé Franklin</w:t>
            </w:r>
          </w:p>
        </w:tc>
        <w:tc>
          <w:tcPr>
            <w:tcW w:w="1559" w:type="dxa"/>
          </w:tcPr>
          <w:p w:rsidR="00F23DE7" w:rsidRPr="00454BF3" w:rsidRDefault="00116899" w:rsidP="00FD24EA">
            <w:pPr>
              <w:jc w:val="both"/>
              <w:rPr>
                <w:bCs/>
                <w:sz w:val="23"/>
                <w:szCs w:val="23"/>
              </w:rPr>
            </w:pPr>
            <w:r w:rsidRPr="00116899">
              <w:rPr>
                <w:bCs/>
                <w:sz w:val="23"/>
                <w:szCs w:val="23"/>
              </w:rPr>
              <w:t>IFORD</w:t>
            </w:r>
          </w:p>
        </w:tc>
        <w:tc>
          <w:tcPr>
            <w:tcW w:w="4395" w:type="dxa"/>
          </w:tcPr>
          <w:p w:rsidR="00F23DE7" w:rsidRPr="00454BF3" w:rsidRDefault="00116899" w:rsidP="00FD24EA">
            <w:pPr>
              <w:jc w:val="both"/>
              <w:rPr>
                <w:bCs/>
                <w:sz w:val="23"/>
                <w:szCs w:val="23"/>
              </w:rPr>
            </w:pPr>
            <w:r w:rsidRPr="00116899">
              <w:rPr>
                <w:bCs/>
                <w:sz w:val="23"/>
                <w:szCs w:val="23"/>
              </w:rPr>
              <w:t>Enseignant-Chercheur</w:t>
            </w:r>
          </w:p>
        </w:tc>
      </w:tr>
      <w:tr w:rsidR="00F23DE7" w:rsidTr="007A19C5">
        <w:tc>
          <w:tcPr>
            <w:tcW w:w="534" w:type="dxa"/>
          </w:tcPr>
          <w:p w:rsidR="00F23DE7" w:rsidRPr="00454BF3" w:rsidRDefault="00116899" w:rsidP="00FD24EA">
            <w:pPr>
              <w:jc w:val="both"/>
              <w:rPr>
                <w:bCs/>
                <w:sz w:val="23"/>
                <w:szCs w:val="23"/>
              </w:rPr>
            </w:pPr>
            <w:r w:rsidRPr="00116899">
              <w:rPr>
                <w:bCs/>
                <w:sz w:val="23"/>
                <w:szCs w:val="23"/>
              </w:rPr>
              <w:t>11</w:t>
            </w:r>
          </w:p>
        </w:tc>
        <w:tc>
          <w:tcPr>
            <w:tcW w:w="3118" w:type="dxa"/>
          </w:tcPr>
          <w:p w:rsidR="00F23DE7" w:rsidRPr="002F03FD" w:rsidRDefault="00116899" w:rsidP="00FD24EA">
            <w:pPr>
              <w:jc w:val="both"/>
              <w:rPr>
                <w:bCs/>
                <w:sz w:val="23"/>
                <w:szCs w:val="23"/>
                <w:lang w:val="en-CA"/>
              </w:rPr>
            </w:pPr>
            <w:r w:rsidRPr="002F03FD">
              <w:rPr>
                <w:bCs/>
                <w:sz w:val="23"/>
                <w:szCs w:val="23"/>
                <w:lang w:val="en-CA"/>
              </w:rPr>
              <w:t xml:space="preserve">Dr Fiong A </w:t>
            </w:r>
            <w:proofErr w:type="spellStart"/>
            <w:r w:rsidRPr="002F03FD">
              <w:rPr>
                <w:bCs/>
                <w:sz w:val="23"/>
                <w:szCs w:val="23"/>
                <w:lang w:val="en-CA"/>
              </w:rPr>
              <w:t>Bitegni</w:t>
            </w:r>
            <w:proofErr w:type="spellEnd"/>
            <w:r w:rsidRPr="002F03FD">
              <w:rPr>
                <w:bCs/>
                <w:sz w:val="23"/>
                <w:szCs w:val="23"/>
                <w:lang w:val="en-CA"/>
              </w:rPr>
              <w:t xml:space="preserve"> Jean Bosco</w:t>
            </w:r>
          </w:p>
        </w:tc>
        <w:tc>
          <w:tcPr>
            <w:tcW w:w="1559" w:type="dxa"/>
          </w:tcPr>
          <w:p w:rsidR="00F23DE7" w:rsidRPr="00454BF3" w:rsidRDefault="00116899" w:rsidP="00FD24EA">
            <w:pPr>
              <w:jc w:val="both"/>
              <w:rPr>
                <w:bCs/>
                <w:sz w:val="23"/>
                <w:szCs w:val="23"/>
              </w:rPr>
            </w:pPr>
            <w:r w:rsidRPr="00116899">
              <w:rPr>
                <w:bCs/>
                <w:sz w:val="23"/>
                <w:szCs w:val="23"/>
              </w:rPr>
              <w:t>IFORD</w:t>
            </w:r>
          </w:p>
        </w:tc>
        <w:tc>
          <w:tcPr>
            <w:tcW w:w="4395" w:type="dxa"/>
          </w:tcPr>
          <w:p w:rsidR="00F23DE7" w:rsidRPr="00454BF3" w:rsidRDefault="00116899" w:rsidP="00FD24EA">
            <w:pPr>
              <w:jc w:val="both"/>
              <w:rPr>
                <w:bCs/>
                <w:sz w:val="23"/>
                <w:szCs w:val="23"/>
              </w:rPr>
            </w:pPr>
            <w:r w:rsidRPr="00116899">
              <w:rPr>
                <w:bCs/>
                <w:sz w:val="23"/>
                <w:szCs w:val="23"/>
              </w:rPr>
              <w:t>Enseignant-Chercheur</w:t>
            </w:r>
          </w:p>
        </w:tc>
      </w:tr>
      <w:tr w:rsidR="00F23DE7" w:rsidTr="007A19C5">
        <w:tc>
          <w:tcPr>
            <w:tcW w:w="534" w:type="dxa"/>
          </w:tcPr>
          <w:p w:rsidR="00F23DE7" w:rsidRPr="00454BF3" w:rsidRDefault="00116899" w:rsidP="00FD24EA">
            <w:pPr>
              <w:jc w:val="both"/>
              <w:rPr>
                <w:bCs/>
                <w:sz w:val="23"/>
                <w:szCs w:val="23"/>
              </w:rPr>
            </w:pPr>
            <w:r w:rsidRPr="00116899">
              <w:rPr>
                <w:bCs/>
                <w:sz w:val="23"/>
                <w:szCs w:val="23"/>
              </w:rPr>
              <w:t>12</w:t>
            </w:r>
          </w:p>
        </w:tc>
        <w:tc>
          <w:tcPr>
            <w:tcW w:w="3118" w:type="dxa"/>
          </w:tcPr>
          <w:p w:rsidR="00F23DE7" w:rsidRPr="00454BF3" w:rsidRDefault="00116899" w:rsidP="00FD24EA">
            <w:pPr>
              <w:jc w:val="both"/>
              <w:rPr>
                <w:bCs/>
                <w:sz w:val="23"/>
                <w:szCs w:val="23"/>
              </w:rPr>
            </w:pPr>
            <w:r w:rsidRPr="00116899">
              <w:rPr>
                <w:bCs/>
                <w:sz w:val="23"/>
                <w:szCs w:val="23"/>
              </w:rPr>
              <w:t xml:space="preserve">Roberto </w:t>
            </w:r>
            <w:proofErr w:type="spellStart"/>
            <w:r w:rsidRPr="00116899">
              <w:rPr>
                <w:bCs/>
                <w:sz w:val="23"/>
                <w:szCs w:val="23"/>
              </w:rPr>
              <w:t>Pes</w:t>
            </w:r>
            <w:proofErr w:type="spellEnd"/>
          </w:p>
        </w:tc>
        <w:tc>
          <w:tcPr>
            <w:tcW w:w="1559" w:type="dxa"/>
          </w:tcPr>
          <w:p w:rsidR="00F23DE7" w:rsidRPr="00454BF3" w:rsidRDefault="00116899" w:rsidP="00FD24EA">
            <w:pPr>
              <w:jc w:val="both"/>
              <w:rPr>
                <w:bCs/>
                <w:sz w:val="23"/>
                <w:szCs w:val="23"/>
              </w:rPr>
            </w:pPr>
            <w:r w:rsidRPr="00116899">
              <w:rPr>
                <w:bCs/>
                <w:sz w:val="23"/>
                <w:szCs w:val="23"/>
              </w:rPr>
              <w:t>BIT/ILO</w:t>
            </w:r>
          </w:p>
        </w:tc>
        <w:tc>
          <w:tcPr>
            <w:tcW w:w="4395" w:type="dxa"/>
          </w:tcPr>
          <w:p w:rsidR="00F23DE7" w:rsidRPr="00454BF3" w:rsidRDefault="00116899" w:rsidP="00FD24EA">
            <w:pPr>
              <w:jc w:val="both"/>
              <w:rPr>
                <w:bCs/>
                <w:sz w:val="23"/>
                <w:szCs w:val="23"/>
              </w:rPr>
            </w:pPr>
            <w:r w:rsidRPr="00116899">
              <w:rPr>
                <w:bCs/>
                <w:sz w:val="23"/>
                <w:szCs w:val="23"/>
              </w:rPr>
              <w:t>Spécialiste</w:t>
            </w:r>
          </w:p>
        </w:tc>
      </w:tr>
      <w:tr w:rsidR="00F23DE7" w:rsidTr="007A19C5">
        <w:tc>
          <w:tcPr>
            <w:tcW w:w="534" w:type="dxa"/>
          </w:tcPr>
          <w:p w:rsidR="00F23DE7" w:rsidRPr="00454BF3" w:rsidRDefault="00116899" w:rsidP="00FD24EA">
            <w:pPr>
              <w:jc w:val="both"/>
              <w:rPr>
                <w:bCs/>
                <w:sz w:val="23"/>
                <w:szCs w:val="23"/>
              </w:rPr>
            </w:pPr>
            <w:r w:rsidRPr="00116899">
              <w:rPr>
                <w:bCs/>
                <w:sz w:val="23"/>
                <w:szCs w:val="23"/>
              </w:rPr>
              <w:t>13</w:t>
            </w:r>
          </w:p>
        </w:tc>
        <w:tc>
          <w:tcPr>
            <w:tcW w:w="3118" w:type="dxa"/>
          </w:tcPr>
          <w:p w:rsidR="00F23DE7" w:rsidRPr="00454BF3" w:rsidRDefault="00116899" w:rsidP="00FD24EA">
            <w:pPr>
              <w:jc w:val="both"/>
              <w:rPr>
                <w:bCs/>
                <w:sz w:val="23"/>
                <w:szCs w:val="23"/>
              </w:rPr>
            </w:pPr>
            <w:proofErr w:type="spellStart"/>
            <w:r w:rsidRPr="00116899">
              <w:rPr>
                <w:bCs/>
                <w:sz w:val="23"/>
                <w:szCs w:val="23"/>
              </w:rPr>
              <w:t>Djamé</w:t>
            </w:r>
            <w:proofErr w:type="spellEnd"/>
            <w:r w:rsidRPr="00116899">
              <w:rPr>
                <w:bCs/>
                <w:sz w:val="23"/>
                <w:szCs w:val="23"/>
              </w:rPr>
              <w:t xml:space="preserve"> Raymond</w:t>
            </w:r>
          </w:p>
        </w:tc>
        <w:tc>
          <w:tcPr>
            <w:tcW w:w="1559" w:type="dxa"/>
          </w:tcPr>
          <w:p w:rsidR="00F23DE7" w:rsidRPr="00454BF3" w:rsidRDefault="00116899" w:rsidP="00FD24EA">
            <w:pPr>
              <w:jc w:val="both"/>
              <w:rPr>
                <w:bCs/>
                <w:sz w:val="23"/>
                <w:szCs w:val="23"/>
              </w:rPr>
            </w:pPr>
            <w:r w:rsidRPr="00116899">
              <w:rPr>
                <w:bCs/>
                <w:sz w:val="23"/>
                <w:szCs w:val="23"/>
              </w:rPr>
              <w:t>MINESEC</w:t>
            </w:r>
          </w:p>
        </w:tc>
        <w:tc>
          <w:tcPr>
            <w:tcW w:w="4395" w:type="dxa"/>
          </w:tcPr>
          <w:p w:rsidR="00F23DE7" w:rsidRPr="00454BF3" w:rsidRDefault="00116899" w:rsidP="00FD24EA">
            <w:pPr>
              <w:jc w:val="both"/>
              <w:rPr>
                <w:bCs/>
                <w:sz w:val="23"/>
                <w:szCs w:val="23"/>
              </w:rPr>
            </w:pPr>
            <w:r w:rsidRPr="00116899">
              <w:rPr>
                <w:bCs/>
                <w:sz w:val="23"/>
                <w:szCs w:val="23"/>
              </w:rPr>
              <w:t>Chef de cellule planification</w:t>
            </w:r>
          </w:p>
        </w:tc>
      </w:tr>
      <w:tr w:rsidR="00AB567C" w:rsidTr="007A19C5">
        <w:tc>
          <w:tcPr>
            <w:tcW w:w="534" w:type="dxa"/>
          </w:tcPr>
          <w:p w:rsidR="00AB567C" w:rsidRPr="00454BF3" w:rsidRDefault="00116899" w:rsidP="00FD24EA">
            <w:pPr>
              <w:jc w:val="both"/>
              <w:rPr>
                <w:bCs/>
                <w:sz w:val="23"/>
                <w:szCs w:val="23"/>
              </w:rPr>
            </w:pPr>
            <w:r w:rsidRPr="00116899">
              <w:rPr>
                <w:bCs/>
                <w:sz w:val="23"/>
                <w:szCs w:val="23"/>
              </w:rPr>
              <w:t>14</w:t>
            </w:r>
          </w:p>
        </w:tc>
        <w:tc>
          <w:tcPr>
            <w:tcW w:w="3118" w:type="dxa"/>
          </w:tcPr>
          <w:p w:rsidR="00AB567C" w:rsidRPr="00454BF3" w:rsidRDefault="00116899" w:rsidP="00FD24EA">
            <w:pPr>
              <w:jc w:val="both"/>
              <w:rPr>
                <w:bCs/>
                <w:sz w:val="23"/>
                <w:szCs w:val="23"/>
              </w:rPr>
            </w:pPr>
            <w:proofErr w:type="spellStart"/>
            <w:r w:rsidRPr="00116899">
              <w:rPr>
                <w:bCs/>
                <w:sz w:val="23"/>
                <w:szCs w:val="23"/>
              </w:rPr>
              <w:t>Essomba</w:t>
            </w:r>
            <w:proofErr w:type="spellEnd"/>
            <w:r w:rsidRPr="00116899">
              <w:rPr>
                <w:bCs/>
                <w:sz w:val="23"/>
                <w:szCs w:val="23"/>
              </w:rPr>
              <w:t xml:space="preserve"> </w:t>
            </w:r>
            <w:proofErr w:type="spellStart"/>
            <w:r w:rsidRPr="00116899">
              <w:rPr>
                <w:bCs/>
                <w:sz w:val="23"/>
                <w:szCs w:val="23"/>
              </w:rPr>
              <w:t>Eyenga</w:t>
            </w:r>
            <w:proofErr w:type="spellEnd"/>
            <w:r w:rsidRPr="00116899">
              <w:rPr>
                <w:bCs/>
                <w:sz w:val="23"/>
                <w:szCs w:val="23"/>
              </w:rPr>
              <w:t xml:space="preserve"> Joseph</w:t>
            </w:r>
          </w:p>
        </w:tc>
        <w:tc>
          <w:tcPr>
            <w:tcW w:w="1559" w:type="dxa"/>
          </w:tcPr>
          <w:p w:rsidR="00AB567C" w:rsidRPr="00454BF3" w:rsidRDefault="00116899" w:rsidP="00FD24EA">
            <w:pPr>
              <w:jc w:val="both"/>
              <w:rPr>
                <w:bCs/>
                <w:sz w:val="23"/>
                <w:szCs w:val="23"/>
              </w:rPr>
            </w:pPr>
            <w:r w:rsidRPr="00116899">
              <w:rPr>
                <w:bCs/>
                <w:sz w:val="23"/>
                <w:szCs w:val="23"/>
              </w:rPr>
              <w:t>MINEPAT</w:t>
            </w:r>
          </w:p>
        </w:tc>
        <w:tc>
          <w:tcPr>
            <w:tcW w:w="4395" w:type="dxa"/>
          </w:tcPr>
          <w:p w:rsidR="00AB567C" w:rsidRPr="00454BF3" w:rsidRDefault="00116899" w:rsidP="00FD24EA">
            <w:pPr>
              <w:jc w:val="both"/>
              <w:rPr>
                <w:bCs/>
                <w:sz w:val="23"/>
                <w:szCs w:val="23"/>
              </w:rPr>
            </w:pPr>
            <w:r w:rsidRPr="00116899">
              <w:rPr>
                <w:bCs/>
                <w:sz w:val="23"/>
                <w:szCs w:val="23"/>
              </w:rPr>
              <w:t>CEA</w:t>
            </w:r>
          </w:p>
        </w:tc>
      </w:tr>
      <w:tr w:rsidR="00AB567C" w:rsidTr="007A19C5">
        <w:tc>
          <w:tcPr>
            <w:tcW w:w="534" w:type="dxa"/>
          </w:tcPr>
          <w:p w:rsidR="00AB567C" w:rsidRPr="00454BF3" w:rsidRDefault="00116899" w:rsidP="00FD24EA">
            <w:pPr>
              <w:jc w:val="both"/>
              <w:rPr>
                <w:bCs/>
                <w:sz w:val="23"/>
                <w:szCs w:val="23"/>
              </w:rPr>
            </w:pPr>
            <w:r w:rsidRPr="00116899">
              <w:rPr>
                <w:bCs/>
                <w:sz w:val="23"/>
                <w:szCs w:val="23"/>
              </w:rPr>
              <w:t>15</w:t>
            </w:r>
          </w:p>
        </w:tc>
        <w:tc>
          <w:tcPr>
            <w:tcW w:w="3118" w:type="dxa"/>
          </w:tcPr>
          <w:p w:rsidR="00AB567C" w:rsidRPr="00454BF3" w:rsidRDefault="00116899" w:rsidP="00FD24EA">
            <w:pPr>
              <w:jc w:val="both"/>
              <w:rPr>
                <w:bCs/>
                <w:sz w:val="23"/>
                <w:szCs w:val="23"/>
              </w:rPr>
            </w:pPr>
            <w:r w:rsidRPr="00116899">
              <w:rPr>
                <w:bCs/>
                <w:sz w:val="23"/>
                <w:szCs w:val="23"/>
              </w:rPr>
              <w:t xml:space="preserve">Nsangou </w:t>
            </w:r>
            <w:proofErr w:type="spellStart"/>
            <w:r w:rsidRPr="00116899">
              <w:rPr>
                <w:bCs/>
                <w:sz w:val="23"/>
                <w:szCs w:val="23"/>
              </w:rPr>
              <w:t>Beyala</w:t>
            </w:r>
            <w:proofErr w:type="spellEnd"/>
            <w:r w:rsidRPr="00116899">
              <w:rPr>
                <w:bCs/>
                <w:sz w:val="23"/>
                <w:szCs w:val="23"/>
              </w:rPr>
              <w:t xml:space="preserve"> Corine</w:t>
            </w:r>
          </w:p>
        </w:tc>
        <w:tc>
          <w:tcPr>
            <w:tcW w:w="1559" w:type="dxa"/>
          </w:tcPr>
          <w:p w:rsidR="00AB567C" w:rsidRPr="00454BF3" w:rsidRDefault="00116899" w:rsidP="00FD24EA">
            <w:pPr>
              <w:jc w:val="both"/>
              <w:rPr>
                <w:bCs/>
                <w:sz w:val="23"/>
                <w:szCs w:val="23"/>
              </w:rPr>
            </w:pPr>
            <w:r w:rsidRPr="00116899">
              <w:rPr>
                <w:bCs/>
                <w:sz w:val="23"/>
                <w:szCs w:val="23"/>
              </w:rPr>
              <w:t>MINREX</w:t>
            </w:r>
          </w:p>
        </w:tc>
        <w:tc>
          <w:tcPr>
            <w:tcW w:w="4395" w:type="dxa"/>
          </w:tcPr>
          <w:p w:rsidR="00AB567C" w:rsidRPr="00454BF3" w:rsidRDefault="00116899" w:rsidP="00FD24EA">
            <w:pPr>
              <w:jc w:val="both"/>
              <w:rPr>
                <w:bCs/>
                <w:sz w:val="23"/>
                <w:szCs w:val="23"/>
              </w:rPr>
            </w:pPr>
            <w:r w:rsidRPr="00116899">
              <w:rPr>
                <w:bCs/>
                <w:sz w:val="23"/>
                <w:szCs w:val="23"/>
              </w:rPr>
              <w:t>SAE</w:t>
            </w:r>
          </w:p>
        </w:tc>
      </w:tr>
      <w:tr w:rsidR="00AB567C" w:rsidTr="007A19C5">
        <w:tc>
          <w:tcPr>
            <w:tcW w:w="534" w:type="dxa"/>
          </w:tcPr>
          <w:p w:rsidR="00AB567C" w:rsidRPr="00454BF3" w:rsidRDefault="00116899" w:rsidP="00FD24EA">
            <w:pPr>
              <w:jc w:val="both"/>
              <w:rPr>
                <w:bCs/>
                <w:sz w:val="23"/>
                <w:szCs w:val="23"/>
              </w:rPr>
            </w:pPr>
            <w:r w:rsidRPr="00116899">
              <w:rPr>
                <w:bCs/>
                <w:sz w:val="23"/>
                <w:szCs w:val="23"/>
              </w:rPr>
              <w:t>16</w:t>
            </w:r>
          </w:p>
        </w:tc>
        <w:tc>
          <w:tcPr>
            <w:tcW w:w="3118" w:type="dxa"/>
          </w:tcPr>
          <w:p w:rsidR="00AB567C" w:rsidRPr="00454BF3" w:rsidRDefault="00116899" w:rsidP="00FD24EA">
            <w:pPr>
              <w:jc w:val="both"/>
              <w:rPr>
                <w:bCs/>
                <w:sz w:val="23"/>
                <w:szCs w:val="23"/>
              </w:rPr>
            </w:pPr>
            <w:proofErr w:type="spellStart"/>
            <w:r w:rsidRPr="00116899">
              <w:rPr>
                <w:bCs/>
                <w:sz w:val="23"/>
                <w:szCs w:val="23"/>
              </w:rPr>
              <w:t>Djelakoun</w:t>
            </w:r>
            <w:proofErr w:type="spellEnd"/>
            <w:r w:rsidRPr="00116899">
              <w:rPr>
                <w:bCs/>
                <w:sz w:val="23"/>
                <w:szCs w:val="23"/>
              </w:rPr>
              <w:t xml:space="preserve"> Victoire</w:t>
            </w:r>
          </w:p>
        </w:tc>
        <w:tc>
          <w:tcPr>
            <w:tcW w:w="1559" w:type="dxa"/>
          </w:tcPr>
          <w:p w:rsidR="00AB567C" w:rsidRPr="00454BF3" w:rsidRDefault="00116899" w:rsidP="00FD24EA">
            <w:pPr>
              <w:jc w:val="both"/>
              <w:rPr>
                <w:bCs/>
                <w:sz w:val="23"/>
                <w:szCs w:val="23"/>
              </w:rPr>
            </w:pPr>
            <w:r w:rsidRPr="00116899">
              <w:rPr>
                <w:bCs/>
                <w:sz w:val="23"/>
                <w:szCs w:val="23"/>
              </w:rPr>
              <w:t>MINEPAT</w:t>
            </w:r>
          </w:p>
        </w:tc>
        <w:tc>
          <w:tcPr>
            <w:tcW w:w="4395" w:type="dxa"/>
          </w:tcPr>
          <w:p w:rsidR="00AB567C" w:rsidRPr="00454BF3" w:rsidRDefault="00116899" w:rsidP="00FD24EA">
            <w:pPr>
              <w:jc w:val="both"/>
              <w:rPr>
                <w:bCs/>
                <w:sz w:val="23"/>
                <w:szCs w:val="23"/>
              </w:rPr>
            </w:pPr>
            <w:r w:rsidRPr="00116899">
              <w:rPr>
                <w:bCs/>
                <w:sz w:val="23"/>
                <w:szCs w:val="23"/>
              </w:rPr>
              <w:t>Cadre</w:t>
            </w:r>
          </w:p>
        </w:tc>
      </w:tr>
      <w:tr w:rsidR="00AB567C" w:rsidTr="007A19C5">
        <w:tc>
          <w:tcPr>
            <w:tcW w:w="534" w:type="dxa"/>
          </w:tcPr>
          <w:p w:rsidR="00AB567C" w:rsidRPr="00454BF3" w:rsidRDefault="00116899" w:rsidP="00FD24EA">
            <w:pPr>
              <w:jc w:val="both"/>
              <w:rPr>
                <w:bCs/>
                <w:sz w:val="23"/>
                <w:szCs w:val="23"/>
              </w:rPr>
            </w:pPr>
            <w:r w:rsidRPr="00116899">
              <w:rPr>
                <w:bCs/>
                <w:sz w:val="23"/>
                <w:szCs w:val="23"/>
              </w:rPr>
              <w:t>17</w:t>
            </w:r>
          </w:p>
        </w:tc>
        <w:tc>
          <w:tcPr>
            <w:tcW w:w="3118" w:type="dxa"/>
          </w:tcPr>
          <w:p w:rsidR="00AB567C" w:rsidRPr="00454BF3" w:rsidRDefault="00116899" w:rsidP="00FD24EA">
            <w:pPr>
              <w:jc w:val="both"/>
              <w:rPr>
                <w:bCs/>
                <w:sz w:val="23"/>
                <w:szCs w:val="23"/>
              </w:rPr>
            </w:pPr>
            <w:proofErr w:type="spellStart"/>
            <w:r w:rsidRPr="00116899">
              <w:rPr>
                <w:bCs/>
                <w:sz w:val="23"/>
                <w:szCs w:val="23"/>
              </w:rPr>
              <w:t>Boukar</w:t>
            </w:r>
            <w:proofErr w:type="spellEnd"/>
            <w:r w:rsidRPr="00116899">
              <w:rPr>
                <w:bCs/>
                <w:sz w:val="23"/>
                <w:szCs w:val="23"/>
              </w:rPr>
              <w:t xml:space="preserve"> Adam</w:t>
            </w:r>
          </w:p>
        </w:tc>
        <w:tc>
          <w:tcPr>
            <w:tcW w:w="1559" w:type="dxa"/>
          </w:tcPr>
          <w:p w:rsidR="00AB567C" w:rsidRPr="00454BF3" w:rsidRDefault="00116899" w:rsidP="00FD24EA">
            <w:pPr>
              <w:jc w:val="both"/>
              <w:rPr>
                <w:bCs/>
                <w:sz w:val="23"/>
                <w:szCs w:val="23"/>
              </w:rPr>
            </w:pPr>
            <w:r w:rsidRPr="00116899">
              <w:rPr>
                <w:bCs/>
                <w:sz w:val="23"/>
                <w:szCs w:val="23"/>
              </w:rPr>
              <w:t>MINJEC</w:t>
            </w:r>
          </w:p>
        </w:tc>
        <w:tc>
          <w:tcPr>
            <w:tcW w:w="4395" w:type="dxa"/>
          </w:tcPr>
          <w:p w:rsidR="00AB567C" w:rsidRPr="00454BF3" w:rsidRDefault="004E4433" w:rsidP="00FD24EA">
            <w:pPr>
              <w:jc w:val="both"/>
              <w:rPr>
                <w:bCs/>
                <w:sz w:val="23"/>
                <w:szCs w:val="23"/>
              </w:rPr>
            </w:pPr>
            <w:r>
              <w:rPr>
                <w:bCs/>
                <w:sz w:val="23"/>
                <w:szCs w:val="23"/>
              </w:rPr>
              <w:t xml:space="preserve">Cellule </w:t>
            </w:r>
            <w:r w:rsidR="00116899" w:rsidRPr="00116899">
              <w:rPr>
                <w:bCs/>
                <w:sz w:val="23"/>
                <w:szCs w:val="23"/>
              </w:rPr>
              <w:t>stat</w:t>
            </w:r>
            <w:r>
              <w:rPr>
                <w:bCs/>
                <w:sz w:val="23"/>
                <w:szCs w:val="23"/>
              </w:rPr>
              <w:t>istique</w:t>
            </w:r>
          </w:p>
        </w:tc>
      </w:tr>
      <w:tr w:rsidR="00AB567C" w:rsidTr="007A19C5">
        <w:tc>
          <w:tcPr>
            <w:tcW w:w="534" w:type="dxa"/>
          </w:tcPr>
          <w:p w:rsidR="00AB567C" w:rsidRPr="00454BF3" w:rsidRDefault="00116899" w:rsidP="00FD24EA">
            <w:pPr>
              <w:jc w:val="both"/>
              <w:rPr>
                <w:bCs/>
                <w:sz w:val="23"/>
                <w:szCs w:val="23"/>
              </w:rPr>
            </w:pPr>
            <w:r w:rsidRPr="00116899">
              <w:rPr>
                <w:bCs/>
                <w:sz w:val="23"/>
                <w:szCs w:val="23"/>
              </w:rPr>
              <w:t>18</w:t>
            </w:r>
          </w:p>
        </w:tc>
        <w:tc>
          <w:tcPr>
            <w:tcW w:w="3118" w:type="dxa"/>
          </w:tcPr>
          <w:p w:rsidR="00AB567C" w:rsidRPr="00454BF3" w:rsidRDefault="00116899" w:rsidP="00FD24EA">
            <w:pPr>
              <w:jc w:val="both"/>
              <w:rPr>
                <w:bCs/>
                <w:sz w:val="23"/>
                <w:szCs w:val="23"/>
              </w:rPr>
            </w:pPr>
            <w:proofErr w:type="spellStart"/>
            <w:r w:rsidRPr="00116899">
              <w:rPr>
                <w:bCs/>
                <w:sz w:val="23"/>
                <w:szCs w:val="23"/>
              </w:rPr>
              <w:t>Akono</w:t>
            </w:r>
            <w:proofErr w:type="spellEnd"/>
            <w:r w:rsidRPr="00116899">
              <w:rPr>
                <w:bCs/>
                <w:sz w:val="23"/>
                <w:szCs w:val="23"/>
              </w:rPr>
              <w:t xml:space="preserve"> Jean David</w:t>
            </w:r>
          </w:p>
        </w:tc>
        <w:tc>
          <w:tcPr>
            <w:tcW w:w="1559" w:type="dxa"/>
          </w:tcPr>
          <w:p w:rsidR="00AB567C" w:rsidRPr="00454BF3" w:rsidRDefault="00116899" w:rsidP="00FD24EA">
            <w:pPr>
              <w:jc w:val="both"/>
              <w:rPr>
                <w:bCs/>
                <w:sz w:val="23"/>
                <w:szCs w:val="23"/>
              </w:rPr>
            </w:pPr>
            <w:r w:rsidRPr="00116899">
              <w:rPr>
                <w:bCs/>
                <w:sz w:val="23"/>
                <w:szCs w:val="23"/>
              </w:rPr>
              <w:t>MINEFOP</w:t>
            </w:r>
          </w:p>
        </w:tc>
        <w:tc>
          <w:tcPr>
            <w:tcW w:w="4395" w:type="dxa"/>
          </w:tcPr>
          <w:p w:rsidR="00AB567C" w:rsidRPr="00454BF3" w:rsidRDefault="00116899" w:rsidP="00FD24EA">
            <w:pPr>
              <w:jc w:val="both"/>
              <w:rPr>
                <w:bCs/>
                <w:sz w:val="23"/>
                <w:szCs w:val="23"/>
              </w:rPr>
            </w:pPr>
            <w:r w:rsidRPr="00116899">
              <w:rPr>
                <w:bCs/>
                <w:sz w:val="23"/>
                <w:szCs w:val="23"/>
              </w:rPr>
              <w:t>Cadre</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19</w:t>
            </w:r>
          </w:p>
        </w:tc>
        <w:tc>
          <w:tcPr>
            <w:tcW w:w="3118" w:type="dxa"/>
          </w:tcPr>
          <w:p w:rsidR="0047215E" w:rsidRPr="00454BF3" w:rsidRDefault="00116899" w:rsidP="00FD24EA">
            <w:pPr>
              <w:jc w:val="both"/>
              <w:rPr>
                <w:bCs/>
                <w:sz w:val="23"/>
                <w:szCs w:val="23"/>
              </w:rPr>
            </w:pPr>
            <w:proofErr w:type="spellStart"/>
            <w:r w:rsidRPr="00116899">
              <w:rPr>
                <w:bCs/>
                <w:sz w:val="23"/>
                <w:szCs w:val="23"/>
              </w:rPr>
              <w:t>Bogmis</w:t>
            </w:r>
            <w:proofErr w:type="spellEnd"/>
            <w:r w:rsidRPr="00116899">
              <w:rPr>
                <w:bCs/>
                <w:sz w:val="23"/>
                <w:szCs w:val="23"/>
              </w:rPr>
              <w:t xml:space="preserve"> Marcel</w:t>
            </w:r>
          </w:p>
        </w:tc>
        <w:tc>
          <w:tcPr>
            <w:tcW w:w="1559" w:type="dxa"/>
          </w:tcPr>
          <w:p w:rsidR="0047215E" w:rsidRPr="00454BF3" w:rsidRDefault="00116899" w:rsidP="00FD24EA">
            <w:pPr>
              <w:jc w:val="both"/>
              <w:rPr>
                <w:bCs/>
                <w:sz w:val="23"/>
                <w:szCs w:val="23"/>
              </w:rPr>
            </w:pPr>
            <w:r w:rsidRPr="00116899">
              <w:rPr>
                <w:bCs/>
                <w:sz w:val="23"/>
                <w:szCs w:val="23"/>
              </w:rPr>
              <w:t>BUCREP</w:t>
            </w:r>
          </w:p>
        </w:tc>
        <w:tc>
          <w:tcPr>
            <w:tcW w:w="4395" w:type="dxa"/>
          </w:tcPr>
          <w:p w:rsidR="0047215E" w:rsidRPr="00454BF3" w:rsidRDefault="00116899" w:rsidP="00FD24EA">
            <w:pPr>
              <w:jc w:val="both"/>
              <w:rPr>
                <w:bCs/>
                <w:sz w:val="23"/>
                <w:szCs w:val="23"/>
              </w:rPr>
            </w:pPr>
            <w:r w:rsidRPr="00116899">
              <w:rPr>
                <w:bCs/>
                <w:sz w:val="23"/>
                <w:szCs w:val="23"/>
              </w:rPr>
              <w:t>CEA</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20</w:t>
            </w:r>
          </w:p>
        </w:tc>
        <w:tc>
          <w:tcPr>
            <w:tcW w:w="3118" w:type="dxa"/>
          </w:tcPr>
          <w:p w:rsidR="0047215E" w:rsidRPr="00454BF3" w:rsidRDefault="00116899" w:rsidP="00FD24EA">
            <w:pPr>
              <w:jc w:val="both"/>
              <w:rPr>
                <w:bCs/>
                <w:sz w:val="23"/>
                <w:szCs w:val="23"/>
              </w:rPr>
            </w:pPr>
            <w:proofErr w:type="spellStart"/>
            <w:r w:rsidRPr="00116899">
              <w:rPr>
                <w:bCs/>
                <w:sz w:val="23"/>
                <w:szCs w:val="23"/>
              </w:rPr>
              <w:t>Neguem</w:t>
            </w:r>
            <w:proofErr w:type="spellEnd"/>
            <w:r w:rsidRPr="00116899">
              <w:rPr>
                <w:bCs/>
                <w:sz w:val="23"/>
                <w:szCs w:val="23"/>
              </w:rPr>
              <w:t xml:space="preserve"> </w:t>
            </w:r>
            <w:proofErr w:type="spellStart"/>
            <w:r w:rsidRPr="00116899">
              <w:rPr>
                <w:bCs/>
                <w:sz w:val="23"/>
                <w:szCs w:val="23"/>
              </w:rPr>
              <w:t>Eric</w:t>
            </w:r>
            <w:proofErr w:type="spellEnd"/>
          </w:p>
        </w:tc>
        <w:tc>
          <w:tcPr>
            <w:tcW w:w="1559" w:type="dxa"/>
          </w:tcPr>
          <w:p w:rsidR="0047215E" w:rsidRPr="00454BF3" w:rsidRDefault="00116899" w:rsidP="00FD24EA">
            <w:pPr>
              <w:jc w:val="both"/>
              <w:rPr>
                <w:bCs/>
                <w:sz w:val="23"/>
                <w:szCs w:val="23"/>
              </w:rPr>
            </w:pPr>
            <w:r w:rsidRPr="00116899">
              <w:rPr>
                <w:bCs/>
                <w:sz w:val="23"/>
                <w:szCs w:val="23"/>
              </w:rPr>
              <w:t>MINEPAT</w:t>
            </w:r>
          </w:p>
        </w:tc>
        <w:tc>
          <w:tcPr>
            <w:tcW w:w="4395" w:type="dxa"/>
          </w:tcPr>
          <w:p w:rsidR="0047215E" w:rsidRPr="00454BF3" w:rsidRDefault="00116899" w:rsidP="00FD24EA">
            <w:pPr>
              <w:jc w:val="both"/>
              <w:rPr>
                <w:bCs/>
                <w:sz w:val="23"/>
                <w:szCs w:val="23"/>
              </w:rPr>
            </w:pPr>
            <w:r w:rsidRPr="00116899">
              <w:rPr>
                <w:bCs/>
                <w:sz w:val="23"/>
                <w:szCs w:val="23"/>
              </w:rPr>
              <w:t>CEA</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21</w:t>
            </w:r>
          </w:p>
        </w:tc>
        <w:tc>
          <w:tcPr>
            <w:tcW w:w="3118" w:type="dxa"/>
          </w:tcPr>
          <w:p w:rsidR="0047215E" w:rsidRPr="00454BF3" w:rsidRDefault="00116899" w:rsidP="00FD24EA">
            <w:pPr>
              <w:jc w:val="both"/>
              <w:rPr>
                <w:bCs/>
                <w:sz w:val="23"/>
                <w:szCs w:val="23"/>
              </w:rPr>
            </w:pPr>
            <w:proofErr w:type="spellStart"/>
            <w:r w:rsidRPr="00116899">
              <w:rPr>
                <w:bCs/>
                <w:sz w:val="23"/>
                <w:szCs w:val="23"/>
              </w:rPr>
              <w:t>Deffo</w:t>
            </w:r>
            <w:proofErr w:type="spellEnd"/>
            <w:r w:rsidRPr="00116899">
              <w:rPr>
                <w:bCs/>
                <w:sz w:val="23"/>
                <w:szCs w:val="23"/>
              </w:rPr>
              <w:t xml:space="preserve"> Achille Carlos</w:t>
            </w:r>
          </w:p>
        </w:tc>
        <w:tc>
          <w:tcPr>
            <w:tcW w:w="1559" w:type="dxa"/>
          </w:tcPr>
          <w:p w:rsidR="0047215E" w:rsidRPr="00454BF3" w:rsidRDefault="00116899" w:rsidP="00FD24EA">
            <w:pPr>
              <w:jc w:val="both"/>
              <w:rPr>
                <w:bCs/>
                <w:sz w:val="23"/>
                <w:szCs w:val="23"/>
              </w:rPr>
            </w:pPr>
            <w:r w:rsidRPr="00116899">
              <w:rPr>
                <w:bCs/>
                <w:sz w:val="23"/>
                <w:szCs w:val="23"/>
              </w:rPr>
              <w:t>INS</w:t>
            </w:r>
          </w:p>
        </w:tc>
        <w:tc>
          <w:tcPr>
            <w:tcW w:w="4395" w:type="dxa"/>
          </w:tcPr>
          <w:p w:rsidR="0047215E" w:rsidRPr="00454BF3" w:rsidRDefault="00116899" w:rsidP="00FD24EA">
            <w:pPr>
              <w:jc w:val="both"/>
              <w:rPr>
                <w:bCs/>
                <w:sz w:val="23"/>
                <w:szCs w:val="23"/>
              </w:rPr>
            </w:pPr>
            <w:r w:rsidRPr="00116899">
              <w:rPr>
                <w:bCs/>
                <w:sz w:val="23"/>
                <w:szCs w:val="23"/>
              </w:rPr>
              <w:t>CEA</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22</w:t>
            </w:r>
          </w:p>
        </w:tc>
        <w:tc>
          <w:tcPr>
            <w:tcW w:w="3118" w:type="dxa"/>
          </w:tcPr>
          <w:p w:rsidR="0047215E" w:rsidRPr="00454BF3" w:rsidRDefault="00116899" w:rsidP="00FD24EA">
            <w:pPr>
              <w:jc w:val="both"/>
              <w:rPr>
                <w:bCs/>
                <w:sz w:val="23"/>
                <w:szCs w:val="23"/>
              </w:rPr>
            </w:pPr>
            <w:proofErr w:type="spellStart"/>
            <w:r w:rsidRPr="00116899">
              <w:rPr>
                <w:bCs/>
                <w:sz w:val="23"/>
                <w:szCs w:val="23"/>
              </w:rPr>
              <w:t>Avomo</w:t>
            </w:r>
            <w:proofErr w:type="spellEnd"/>
            <w:r w:rsidRPr="00116899">
              <w:rPr>
                <w:bCs/>
                <w:sz w:val="23"/>
                <w:szCs w:val="23"/>
              </w:rPr>
              <w:t xml:space="preserve"> </w:t>
            </w:r>
            <w:proofErr w:type="spellStart"/>
            <w:r w:rsidRPr="00116899">
              <w:rPr>
                <w:bCs/>
                <w:sz w:val="23"/>
                <w:szCs w:val="23"/>
              </w:rPr>
              <w:t>Mvom</w:t>
            </w:r>
            <w:proofErr w:type="spellEnd"/>
            <w:r w:rsidRPr="00116899">
              <w:rPr>
                <w:bCs/>
                <w:sz w:val="23"/>
                <w:szCs w:val="23"/>
              </w:rPr>
              <w:t xml:space="preserve"> Doline</w:t>
            </w:r>
          </w:p>
        </w:tc>
        <w:tc>
          <w:tcPr>
            <w:tcW w:w="1559" w:type="dxa"/>
          </w:tcPr>
          <w:p w:rsidR="0047215E" w:rsidRPr="00454BF3" w:rsidRDefault="00116899" w:rsidP="00FD24EA">
            <w:pPr>
              <w:jc w:val="both"/>
              <w:rPr>
                <w:bCs/>
                <w:sz w:val="23"/>
                <w:szCs w:val="23"/>
              </w:rPr>
            </w:pPr>
            <w:r w:rsidRPr="00116899">
              <w:rPr>
                <w:bCs/>
                <w:sz w:val="23"/>
                <w:szCs w:val="23"/>
              </w:rPr>
              <w:t>MINEFOP</w:t>
            </w:r>
          </w:p>
        </w:tc>
        <w:tc>
          <w:tcPr>
            <w:tcW w:w="4395" w:type="dxa"/>
          </w:tcPr>
          <w:p w:rsidR="0047215E" w:rsidRPr="00454BF3" w:rsidRDefault="00116899" w:rsidP="00FD24EA">
            <w:pPr>
              <w:jc w:val="both"/>
              <w:rPr>
                <w:bCs/>
                <w:sz w:val="23"/>
                <w:szCs w:val="23"/>
              </w:rPr>
            </w:pPr>
            <w:r w:rsidRPr="00116899">
              <w:rPr>
                <w:bCs/>
                <w:sz w:val="23"/>
                <w:szCs w:val="23"/>
              </w:rPr>
              <w:t>CEA</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23</w:t>
            </w:r>
          </w:p>
        </w:tc>
        <w:tc>
          <w:tcPr>
            <w:tcW w:w="3118" w:type="dxa"/>
          </w:tcPr>
          <w:p w:rsidR="0047215E" w:rsidRPr="00454BF3" w:rsidRDefault="00116899" w:rsidP="00FD24EA">
            <w:pPr>
              <w:jc w:val="both"/>
              <w:rPr>
                <w:bCs/>
                <w:sz w:val="23"/>
                <w:szCs w:val="23"/>
              </w:rPr>
            </w:pPr>
            <w:proofErr w:type="spellStart"/>
            <w:r w:rsidRPr="00116899">
              <w:rPr>
                <w:bCs/>
                <w:sz w:val="23"/>
                <w:szCs w:val="23"/>
              </w:rPr>
              <w:t>Amougou</w:t>
            </w:r>
            <w:proofErr w:type="spellEnd"/>
            <w:r w:rsidRPr="00116899">
              <w:rPr>
                <w:bCs/>
                <w:sz w:val="23"/>
                <w:szCs w:val="23"/>
              </w:rPr>
              <w:t xml:space="preserve"> </w:t>
            </w:r>
            <w:proofErr w:type="spellStart"/>
            <w:r w:rsidRPr="00116899">
              <w:rPr>
                <w:bCs/>
                <w:sz w:val="23"/>
                <w:szCs w:val="23"/>
              </w:rPr>
              <w:t>Rebé</w:t>
            </w:r>
            <w:proofErr w:type="spellEnd"/>
            <w:r w:rsidRPr="00116899">
              <w:rPr>
                <w:bCs/>
                <w:sz w:val="23"/>
                <w:szCs w:val="23"/>
              </w:rPr>
              <w:t xml:space="preserve"> Aymar Bertrand</w:t>
            </w:r>
          </w:p>
        </w:tc>
        <w:tc>
          <w:tcPr>
            <w:tcW w:w="1559" w:type="dxa"/>
          </w:tcPr>
          <w:p w:rsidR="0047215E" w:rsidRPr="00454BF3" w:rsidRDefault="00116899" w:rsidP="00FD24EA">
            <w:pPr>
              <w:jc w:val="both"/>
              <w:rPr>
                <w:bCs/>
                <w:sz w:val="23"/>
                <w:szCs w:val="23"/>
              </w:rPr>
            </w:pPr>
            <w:r w:rsidRPr="00116899">
              <w:rPr>
                <w:bCs/>
                <w:sz w:val="23"/>
                <w:szCs w:val="23"/>
              </w:rPr>
              <w:t>INS</w:t>
            </w:r>
          </w:p>
        </w:tc>
        <w:tc>
          <w:tcPr>
            <w:tcW w:w="4395" w:type="dxa"/>
          </w:tcPr>
          <w:p w:rsidR="0047215E" w:rsidRPr="00454BF3" w:rsidRDefault="00116899" w:rsidP="00FD24EA">
            <w:pPr>
              <w:jc w:val="both"/>
              <w:rPr>
                <w:bCs/>
                <w:sz w:val="23"/>
                <w:szCs w:val="23"/>
              </w:rPr>
            </w:pPr>
            <w:r w:rsidRPr="00116899">
              <w:rPr>
                <w:bCs/>
                <w:sz w:val="23"/>
                <w:szCs w:val="23"/>
              </w:rPr>
              <w:t>Chef de cellule</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24</w:t>
            </w:r>
          </w:p>
        </w:tc>
        <w:tc>
          <w:tcPr>
            <w:tcW w:w="3118" w:type="dxa"/>
          </w:tcPr>
          <w:p w:rsidR="0047215E" w:rsidRPr="00454BF3" w:rsidRDefault="00116899" w:rsidP="00FD24EA">
            <w:pPr>
              <w:jc w:val="both"/>
              <w:rPr>
                <w:bCs/>
                <w:sz w:val="23"/>
                <w:szCs w:val="23"/>
              </w:rPr>
            </w:pPr>
            <w:proofErr w:type="spellStart"/>
            <w:r w:rsidRPr="00116899">
              <w:rPr>
                <w:bCs/>
                <w:sz w:val="23"/>
                <w:szCs w:val="23"/>
              </w:rPr>
              <w:t>Ngini</w:t>
            </w:r>
            <w:proofErr w:type="spellEnd"/>
            <w:r w:rsidRPr="00116899">
              <w:rPr>
                <w:bCs/>
                <w:sz w:val="23"/>
                <w:szCs w:val="23"/>
              </w:rPr>
              <w:t xml:space="preserve"> Joseph</w:t>
            </w:r>
          </w:p>
        </w:tc>
        <w:tc>
          <w:tcPr>
            <w:tcW w:w="1559" w:type="dxa"/>
          </w:tcPr>
          <w:p w:rsidR="0047215E" w:rsidRPr="00454BF3" w:rsidRDefault="00116899" w:rsidP="00FD24EA">
            <w:pPr>
              <w:jc w:val="both"/>
              <w:rPr>
                <w:bCs/>
                <w:sz w:val="23"/>
                <w:szCs w:val="23"/>
              </w:rPr>
            </w:pPr>
            <w:r w:rsidRPr="00116899">
              <w:rPr>
                <w:bCs/>
                <w:sz w:val="23"/>
                <w:szCs w:val="23"/>
              </w:rPr>
              <w:t>MINPROFF</w:t>
            </w:r>
          </w:p>
        </w:tc>
        <w:tc>
          <w:tcPr>
            <w:tcW w:w="4395" w:type="dxa"/>
          </w:tcPr>
          <w:p w:rsidR="0047215E" w:rsidRPr="00454BF3" w:rsidRDefault="00116899" w:rsidP="00FD24EA">
            <w:pPr>
              <w:jc w:val="both"/>
              <w:rPr>
                <w:bCs/>
                <w:sz w:val="23"/>
                <w:szCs w:val="23"/>
              </w:rPr>
            </w:pPr>
            <w:r w:rsidRPr="00116899">
              <w:rPr>
                <w:bCs/>
                <w:sz w:val="23"/>
                <w:szCs w:val="23"/>
              </w:rPr>
              <w:t>CEA1</w:t>
            </w:r>
          </w:p>
        </w:tc>
      </w:tr>
      <w:tr w:rsidR="0047215E" w:rsidTr="007A19C5">
        <w:trPr>
          <w:trHeight w:val="310"/>
        </w:trPr>
        <w:tc>
          <w:tcPr>
            <w:tcW w:w="534" w:type="dxa"/>
          </w:tcPr>
          <w:p w:rsidR="0047215E" w:rsidRPr="00454BF3" w:rsidRDefault="00116899" w:rsidP="00FD24EA">
            <w:pPr>
              <w:jc w:val="both"/>
              <w:rPr>
                <w:bCs/>
                <w:sz w:val="23"/>
                <w:szCs w:val="23"/>
              </w:rPr>
            </w:pPr>
            <w:r w:rsidRPr="00116899">
              <w:rPr>
                <w:bCs/>
                <w:sz w:val="23"/>
                <w:szCs w:val="23"/>
              </w:rPr>
              <w:t>25</w:t>
            </w:r>
          </w:p>
        </w:tc>
        <w:tc>
          <w:tcPr>
            <w:tcW w:w="3118" w:type="dxa"/>
          </w:tcPr>
          <w:p w:rsidR="0047215E" w:rsidRPr="00454BF3" w:rsidRDefault="00116899" w:rsidP="00FD24EA">
            <w:pPr>
              <w:jc w:val="both"/>
              <w:rPr>
                <w:bCs/>
                <w:sz w:val="23"/>
                <w:szCs w:val="23"/>
              </w:rPr>
            </w:pPr>
            <w:r w:rsidRPr="00116899">
              <w:rPr>
                <w:bCs/>
                <w:sz w:val="23"/>
                <w:szCs w:val="23"/>
              </w:rPr>
              <w:t xml:space="preserve">Dr </w:t>
            </w:r>
            <w:proofErr w:type="spellStart"/>
            <w:r w:rsidRPr="00116899">
              <w:rPr>
                <w:bCs/>
                <w:sz w:val="23"/>
                <w:szCs w:val="23"/>
              </w:rPr>
              <w:t>Fezou</w:t>
            </w:r>
            <w:proofErr w:type="spellEnd"/>
            <w:r w:rsidRPr="00116899">
              <w:rPr>
                <w:bCs/>
                <w:sz w:val="23"/>
                <w:szCs w:val="23"/>
              </w:rPr>
              <w:t xml:space="preserve"> </w:t>
            </w:r>
            <w:proofErr w:type="spellStart"/>
            <w:r w:rsidRPr="00116899">
              <w:rPr>
                <w:bCs/>
                <w:sz w:val="23"/>
                <w:szCs w:val="23"/>
              </w:rPr>
              <w:t>Mavnée</w:t>
            </w:r>
            <w:proofErr w:type="spellEnd"/>
          </w:p>
        </w:tc>
        <w:tc>
          <w:tcPr>
            <w:tcW w:w="1559" w:type="dxa"/>
          </w:tcPr>
          <w:p w:rsidR="0047215E" w:rsidRPr="00454BF3" w:rsidRDefault="00116899" w:rsidP="00FD24EA">
            <w:pPr>
              <w:jc w:val="both"/>
              <w:rPr>
                <w:bCs/>
                <w:sz w:val="23"/>
                <w:szCs w:val="23"/>
              </w:rPr>
            </w:pPr>
            <w:r w:rsidRPr="00116899">
              <w:rPr>
                <w:bCs/>
                <w:sz w:val="23"/>
                <w:szCs w:val="23"/>
              </w:rPr>
              <w:t>MINESANTE</w:t>
            </w:r>
          </w:p>
        </w:tc>
        <w:tc>
          <w:tcPr>
            <w:tcW w:w="4395" w:type="dxa"/>
          </w:tcPr>
          <w:p w:rsidR="0047215E" w:rsidRPr="00454BF3" w:rsidRDefault="00116899" w:rsidP="00FD24EA">
            <w:pPr>
              <w:jc w:val="both"/>
              <w:rPr>
                <w:bCs/>
                <w:sz w:val="23"/>
                <w:szCs w:val="23"/>
              </w:rPr>
            </w:pPr>
            <w:r w:rsidRPr="00116899">
              <w:rPr>
                <w:bCs/>
                <w:sz w:val="23"/>
                <w:szCs w:val="23"/>
              </w:rPr>
              <w:t>Chef de cellule information sanitaire</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26</w:t>
            </w:r>
          </w:p>
        </w:tc>
        <w:tc>
          <w:tcPr>
            <w:tcW w:w="3118" w:type="dxa"/>
          </w:tcPr>
          <w:p w:rsidR="0047215E" w:rsidRPr="00454BF3" w:rsidRDefault="00116899" w:rsidP="00FD24EA">
            <w:pPr>
              <w:jc w:val="both"/>
              <w:rPr>
                <w:bCs/>
                <w:sz w:val="23"/>
                <w:szCs w:val="23"/>
              </w:rPr>
            </w:pPr>
            <w:proofErr w:type="spellStart"/>
            <w:r w:rsidRPr="00116899">
              <w:rPr>
                <w:bCs/>
                <w:sz w:val="23"/>
                <w:szCs w:val="23"/>
              </w:rPr>
              <w:t>Dassi</w:t>
            </w:r>
            <w:proofErr w:type="spellEnd"/>
            <w:r w:rsidRPr="00116899">
              <w:rPr>
                <w:bCs/>
                <w:sz w:val="23"/>
                <w:szCs w:val="23"/>
              </w:rPr>
              <w:t xml:space="preserve"> Nicolas</w:t>
            </w:r>
          </w:p>
        </w:tc>
        <w:tc>
          <w:tcPr>
            <w:tcW w:w="1559" w:type="dxa"/>
          </w:tcPr>
          <w:p w:rsidR="0047215E" w:rsidRPr="00454BF3" w:rsidRDefault="00116899" w:rsidP="00FD24EA">
            <w:pPr>
              <w:jc w:val="both"/>
              <w:rPr>
                <w:bCs/>
                <w:sz w:val="23"/>
                <w:szCs w:val="23"/>
              </w:rPr>
            </w:pPr>
            <w:r w:rsidRPr="00116899">
              <w:rPr>
                <w:bCs/>
                <w:sz w:val="23"/>
                <w:szCs w:val="23"/>
              </w:rPr>
              <w:t>MINTSS</w:t>
            </w:r>
          </w:p>
        </w:tc>
        <w:tc>
          <w:tcPr>
            <w:tcW w:w="4395" w:type="dxa"/>
          </w:tcPr>
          <w:p w:rsidR="0047215E" w:rsidRPr="00454BF3" w:rsidRDefault="00116899" w:rsidP="00FD24EA">
            <w:pPr>
              <w:jc w:val="both"/>
              <w:rPr>
                <w:bCs/>
                <w:sz w:val="23"/>
                <w:szCs w:val="23"/>
              </w:rPr>
            </w:pPr>
            <w:r w:rsidRPr="00116899">
              <w:rPr>
                <w:bCs/>
                <w:sz w:val="23"/>
                <w:szCs w:val="23"/>
              </w:rPr>
              <w:t>DEPS</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27</w:t>
            </w:r>
          </w:p>
        </w:tc>
        <w:tc>
          <w:tcPr>
            <w:tcW w:w="3118" w:type="dxa"/>
          </w:tcPr>
          <w:p w:rsidR="0047215E" w:rsidRPr="00454BF3" w:rsidRDefault="00116899" w:rsidP="00FD24EA">
            <w:pPr>
              <w:jc w:val="both"/>
              <w:rPr>
                <w:bCs/>
                <w:sz w:val="23"/>
                <w:szCs w:val="23"/>
              </w:rPr>
            </w:pPr>
            <w:proofErr w:type="spellStart"/>
            <w:r w:rsidRPr="00116899">
              <w:rPr>
                <w:bCs/>
                <w:sz w:val="23"/>
                <w:szCs w:val="23"/>
              </w:rPr>
              <w:t>Celine</w:t>
            </w:r>
            <w:proofErr w:type="spellEnd"/>
            <w:r w:rsidRPr="00116899">
              <w:rPr>
                <w:bCs/>
                <w:sz w:val="23"/>
                <w:szCs w:val="23"/>
              </w:rPr>
              <w:t xml:space="preserve"> </w:t>
            </w:r>
            <w:proofErr w:type="spellStart"/>
            <w:r w:rsidRPr="00116899">
              <w:rPr>
                <w:bCs/>
                <w:sz w:val="23"/>
                <w:szCs w:val="23"/>
              </w:rPr>
              <w:t>Toulou</w:t>
            </w:r>
            <w:proofErr w:type="spellEnd"/>
          </w:p>
        </w:tc>
        <w:tc>
          <w:tcPr>
            <w:tcW w:w="1559" w:type="dxa"/>
          </w:tcPr>
          <w:p w:rsidR="0047215E" w:rsidRPr="00454BF3" w:rsidRDefault="00116899" w:rsidP="00FD24EA">
            <w:pPr>
              <w:jc w:val="both"/>
              <w:rPr>
                <w:bCs/>
                <w:sz w:val="23"/>
                <w:szCs w:val="23"/>
              </w:rPr>
            </w:pPr>
            <w:r w:rsidRPr="00116899">
              <w:rPr>
                <w:bCs/>
                <w:sz w:val="23"/>
                <w:szCs w:val="23"/>
              </w:rPr>
              <w:t>UNESCO</w:t>
            </w:r>
          </w:p>
        </w:tc>
        <w:tc>
          <w:tcPr>
            <w:tcW w:w="4395" w:type="dxa"/>
          </w:tcPr>
          <w:p w:rsidR="0047215E" w:rsidRPr="00454BF3" w:rsidRDefault="00116899" w:rsidP="00FD24EA">
            <w:pPr>
              <w:jc w:val="both"/>
              <w:rPr>
                <w:bCs/>
                <w:sz w:val="23"/>
                <w:szCs w:val="23"/>
              </w:rPr>
            </w:pPr>
            <w:r w:rsidRPr="00116899">
              <w:rPr>
                <w:bCs/>
                <w:sz w:val="23"/>
                <w:szCs w:val="23"/>
              </w:rPr>
              <w:t>Chargée de programme</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28</w:t>
            </w:r>
          </w:p>
        </w:tc>
        <w:tc>
          <w:tcPr>
            <w:tcW w:w="3118" w:type="dxa"/>
          </w:tcPr>
          <w:p w:rsidR="0047215E" w:rsidRPr="00454BF3" w:rsidRDefault="00116899" w:rsidP="00FD24EA">
            <w:pPr>
              <w:jc w:val="both"/>
              <w:rPr>
                <w:bCs/>
                <w:sz w:val="23"/>
                <w:szCs w:val="23"/>
              </w:rPr>
            </w:pPr>
            <w:proofErr w:type="spellStart"/>
            <w:r w:rsidRPr="00116899">
              <w:rPr>
                <w:bCs/>
                <w:sz w:val="23"/>
                <w:szCs w:val="23"/>
              </w:rPr>
              <w:t>Njanko</w:t>
            </w:r>
            <w:proofErr w:type="spellEnd"/>
            <w:r w:rsidRPr="00116899">
              <w:rPr>
                <w:bCs/>
                <w:sz w:val="23"/>
                <w:szCs w:val="23"/>
              </w:rPr>
              <w:t xml:space="preserve"> Eulalie</w:t>
            </w:r>
          </w:p>
        </w:tc>
        <w:tc>
          <w:tcPr>
            <w:tcW w:w="1559" w:type="dxa"/>
          </w:tcPr>
          <w:p w:rsidR="0047215E" w:rsidRPr="00454BF3" w:rsidRDefault="00116899" w:rsidP="00FD24EA">
            <w:pPr>
              <w:jc w:val="both"/>
              <w:rPr>
                <w:bCs/>
                <w:sz w:val="23"/>
                <w:szCs w:val="23"/>
              </w:rPr>
            </w:pPr>
            <w:r w:rsidRPr="00116899">
              <w:rPr>
                <w:bCs/>
                <w:sz w:val="23"/>
                <w:szCs w:val="23"/>
              </w:rPr>
              <w:t>MINEPAT</w:t>
            </w:r>
          </w:p>
        </w:tc>
        <w:tc>
          <w:tcPr>
            <w:tcW w:w="4395" w:type="dxa"/>
          </w:tcPr>
          <w:p w:rsidR="0047215E" w:rsidRPr="00454BF3" w:rsidRDefault="00116899" w:rsidP="00FD24EA">
            <w:pPr>
              <w:jc w:val="both"/>
              <w:rPr>
                <w:bCs/>
                <w:sz w:val="23"/>
                <w:szCs w:val="23"/>
              </w:rPr>
            </w:pPr>
            <w:r w:rsidRPr="00116899">
              <w:rPr>
                <w:bCs/>
                <w:sz w:val="23"/>
                <w:szCs w:val="23"/>
              </w:rPr>
              <w:t>CEA</w:t>
            </w:r>
          </w:p>
        </w:tc>
      </w:tr>
      <w:tr w:rsidR="0047215E" w:rsidTr="007A19C5">
        <w:tc>
          <w:tcPr>
            <w:tcW w:w="534" w:type="dxa"/>
          </w:tcPr>
          <w:p w:rsidR="0047215E" w:rsidRPr="00454BF3" w:rsidRDefault="00116899" w:rsidP="00FD24EA">
            <w:pPr>
              <w:jc w:val="both"/>
              <w:rPr>
                <w:bCs/>
                <w:sz w:val="23"/>
                <w:szCs w:val="23"/>
              </w:rPr>
            </w:pPr>
            <w:r w:rsidRPr="00116899">
              <w:rPr>
                <w:bCs/>
                <w:sz w:val="23"/>
                <w:szCs w:val="23"/>
              </w:rPr>
              <w:t>29</w:t>
            </w:r>
          </w:p>
        </w:tc>
        <w:tc>
          <w:tcPr>
            <w:tcW w:w="3118" w:type="dxa"/>
          </w:tcPr>
          <w:p w:rsidR="0047215E" w:rsidRPr="00454BF3" w:rsidRDefault="00116899" w:rsidP="00FD24EA">
            <w:pPr>
              <w:jc w:val="both"/>
              <w:rPr>
                <w:bCs/>
                <w:sz w:val="23"/>
                <w:szCs w:val="23"/>
              </w:rPr>
            </w:pPr>
            <w:proofErr w:type="spellStart"/>
            <w:r w:rsidRPr="00116899">
              <w:rPr>
                <w:bCs/>
                <w:sz w:val="23"/>
                <w:szCs w:val="23"/>
              </w:rPr>
              <w:t>Djouekep</w:t>
            </w:r>
            <w:proofErr w:type="spellEnd"/>
            <w:r w:rsidRPr="00116899">
              <w:rPr>
                <w:bCs/>
                <w:sz w:val="23"/>
                <w:szCs w:val="23"/>
              </w:rPr>
              <w:t xml:space="preserve"> Prudence</w:t>
            </w:r>
          </w:p>
        </w:tc>
        <w:tc>
          <w:tcPr>
            <w:tcW w:w="1559" w:type="dxa"/>
          </w:tcPr>
          <w:p w:rsidR="0047215E" w:rsidRPr="00454BF3" w:rsidRDefault="00116899" w:rsidP="00FD24EA">
            <w:pPr>
              <w:jc w:val="both"/>
              <w:rPr>
                <w:bCs/>
                <w:sz w:val="23"/>
                <w:szCs w:val="23"/>
              </w:rPr>
            </w:pPr>
            <w:r w:rsidRPr="00116899">
              <w:rPr>
                <w:bCs/>
                <w:sz w:val="23"/>
                <w:szCs w:val="23"/>
              </w:rPr>
              <w:t>MINEPAT</w:t>
            </w:r>
          </w:p>
        </w:tc>
        <w:tc>
          <w:tcPr>
            <w:tcW w:w="4395" w:type="dxa"/>
          </w:tcPr>
          <w:p w:rsidR="0047215E" w:rsidRPr="00454BF3" w:rsidRDefault="00116899" w:rsidP="00FD24EA">
            <w:pPr>
              <w:jc w:val="both"/>
              <w:rPr>
                <w:bCs/>
                <w:sz w:val="23"/>
                <w:szCs w:val="23"/>
              </w:rPr>
            </w:pPr>
            <w:r w:rsidRPr="00116899">
              <w:rPr>
                <w:bCs/>
                <w:sz w:val="23"/>
                <w:szCs w:val="23"/>
              </w:rPr>
              <w:t>Cadre</w:t>
            </w:r>
          </w:p>
        </w:tc>
      </w:tr>
      <w:tr w:rsidR="00454BF3" w:rsidTr="007A19C5">
        <w:tc>
          <w:tcPr>
            <w:tcW w:w="534" w:type="dxa"/>
          </w:tcPr>
          <w:p w:rsidR="00454BF3" w:rsidRPr="00454BF3" w:rsidRDefault="00116899" w:rsidP="00FD24EA">
            <w:pPr>
              <w:jc w:val="both"/>
              <w:rPr>
                <w:bCs/>
                <w:sz w:val="23"/>
                <w:szCs w:val="23"/>
              </w:rPr>
            </w:pPr>
            <w:r w:rsidRPr="00116899">
              <w:rPr>
                <w:bCs/>
                <w:sz w:val="23"/>
                <w:szCs w:val="23"/>
              </w:rPr>
              <w:t>30</w:t>
            </w:r>
          </w:p>
        </w:tc>
        <w:tc>
          <w:tcPr>
            <w:tcW w:w="3118" w:type="dxa"/>
          </w:tcPr>
          <w:p w:rsidR="00454BF3" w:rsidRPr="00454BF3" w:rsidRDefault="00116899" w:rsidP="00FD24EA">
            <w:pPr>
              <w:jc w:val="both"/>
              <w:rPr>
                <w:bCs/>
                <w:sz w:val="23"/>
                <w:szCs w:val="23"/>
              </w:rPr>
            </w:pPr>
            <w:proofErr w:type="spellStart"/>
            <w:r w:rsidRPr="00116899">
              <w:rPr>
                <w:bCs/>
                <w:sz w:val="23"/>
                <w:szCs w:val="23"/>
              </w:rPr>
              <w:t>Eyong</w:t>
            </w:r>
            <w:proofErr w:type="spellEnd"/>
            <w:r w:rsidRPr="00116899">
              <w:rPr>
                <w:bCs/>
                <w:sz w:val="23"/>
                <w:szCs w:val="23"/>
              </w:rPr>
              <w:t xml:space="preserve"> Béatrice </w:t>
            </w:r>
            <w:proofErr w:type="spellStart"/>
            <w:r w:rsidRPr="00116899">
              <w:rPr>
                <w:bCs/>
                <w:sz w:val="23"/>
                <w:szCs w:val="23"/>
              </w:rPr>
              <w:t>Ndip</w:t>
            </w:r>
            <w:proofErr w:type="spellEnd"/>
          </w:p>
        </w:tc>
        <w:tc>
          <w:tcPr>
            <w:tcW w:w="1559" w:type="dxa"/>
          </w:tcPr>
          <w:p w:rsidR="00454BF3" w:rsidRPr="00454BF3" w:rsidRDefault="00116899" w:rsidP="00FD24EA">
            <w:pPr>
              <w:jc w:val="both"/>
              <w:rPr>
                <w:bCs/>
                <w:sz w:val="23"/>
                <w:szCs w:val="23"/>
              </w:rPr>
            </w:pPr>
            <w:r w:rsidRPr="00116899">
              <w:rPr>
                <w:bCs/>
                <w:sz w:val="23"/>
                <w:szCs w:val="23"/>
              </w:rPr>
              <w:t>MINEPAT</w:t>
            </w:r>
          </w:p>
        </w:tc>
        <w:tc>
          <w:tcPr>
            <w:tcW w:w="4395" w:type="dxa"/>
          </w:tcPr>
          <w:p w:rsidR="00454BF3" w:rsidRPr="00454BF3" w:rsidRDefault="00116899" w:rsidP="00FD24EA">
            <w:pPr>
              <w:jc w:val="both"/>
              <w:rPr>
                <w:bCs/>
                <w:sz w:val="23"/>
                <w:szCs w:val="23"/>
              </w:rPr>
            </w:pPr>
            <w:r w:rsidRPr="00116899">
              <w:rPr>
                <w:bCs/>
                <w:sz w:val="23"/>
                <w:szCs w:val="23"/>
              </w:rPr>
              <w:t>CEA</w:t>
            </w:r>
          </w:p>
        </w:tc>
      </w:tr>
      <w:tr w:rsidR="00454BF3" w:rsidTr="007A19C5">
        <w:tc>
          <w:tcPr>
            <w:tcW w:w="534" w:type="dxa"/>
          </w:tcPr>
          <w:p w:rsidR="00454BF3" w:rsidRPr="00454BF3" w:rsidRDefault="00116899" w:rsidP="00FD24EA">
            <w:pPr>
              <w:jc w:val="both"/>
              <w:rPr>
                <w:bCs/>
                <w:sz w:val="23"/>
                <w:szCs w:val="23"/>
              </w:rPr>
            </w:pPr>
            <w:r w:rsidRPr="00116899">
              <w:rPr>
                <w:bCs/>
                <w:sz w:val="23"/>
                <w:szCs w:val="23"/>
              </w:rPr>
              <w:t>31</w:t>
            </w:r>
          </w:p>
        </w:tc>
        <w:tc>
          <w:tcPr>
            <w:tcW w:w="3118" w:type="dxa"/>
          </w:tcPr>
          <w:p w:rsidR="00454BF3" w:rsidRPr="00454BF3" w:rsidRDefault="00116899" w:rsidP="00FD24EA">
            <w:pPr>
              <w:jc w:val="both"/>
              <w:rPr>
                <w:bCs/>
                <w:sz w:val="23"/>
                <w:szCs w:val="23"/>
              </w:rPr>
            </w:pPr>
            <w:proofErr w:type="spellStart"/>
            <w:r w:rsidRPr="00116899">
              <w:rPr>
                <w:bCs/>
                <w:sz w:val="23"/>
                <w:szCs w:val="23"/>
              </w:rPr>
              <w:t>Leunga</w:t>
            </w:r>
            <w:proofErr w:type="spellEnd"/>
            <w:r w:rsidRPr="00116899">
              <w:rPr>
                <w:bCs/>
                <w:sz w:val="23"/>
                <w:szCs w:val="23"/>
              </w:rPr>
              <w:t xml:space="preserve"> </w:t>
            </w:r>
            <w:proofErr w:type="spellStart"/>
            <w:r w:rsidRPr="00116899">
              <w:rPr>
                <w:bCs/>
                <w:sz w:val="23"/>
                <w:szCs w:val="23"/>
              </w:rPr>
              <w:t>Isanbert</w:t>
            </w:r>
            <w:proofErr w:type="spellEnd"/>
          </w:p>
        </w:tc>
        <w:tc>
          <w:tcPr>
            <w:tcW w:w="1559" w:type="dxa"/>
          </w:tcPr>
          <w:p w:rsidR="00454BF3" w:rsidRPr="00454BF3" w:rsidRDefault="00116899" w:rsidP="00FD24EA">
            <w:pPr>
              <w:jc w:val="both"/>
              <w:rPr>
                <w:bCs/>
                <w:sz w:val="23"/>
                <w:szCs w:val="23"/>
              </w:rPr>
            </w:pPr>
            <w:r w:rsidRPr="00116899">
              <w:rPr>
                <w:bCs/>
                <w:sz w:val="23"/>
                <w:szCs w:val="23"/>
              </w:rPr>
              <w:t>MINEPAT</w:t>
            </w:r>
          </w:p>
        </w:tc>
        <w:tc>
          <w:tcPr>
            <w:tcW w:w="4395" w:type="dxa"/>
          </w:tcPr>
          <w:p w:rsidR="00454BF3" w:rsidRPr="00454BF3" w:rsidRDefault="00116899" w:rsidP="00FD24EA">
            <w:pPr>
              <w:jc w:val="both"/>
              <w:rPr>
                <w:bCs/>
                <w:sz w:val="23"/>
                <w:szCs w:val="23"/>
              </w:rPr>
            </w:pPr>
            <w:r w:rsidRPr="00116899">
              <w:rPr>
                <w:bCs/>
                <w:sz w:val="23"/>
                <w:szCs w:val="23"/>
              </w:rPr>
              <w:t>Cadre</w:t>
            </w:r>
          </w:p>
        </w:tc>
      </w:tr>
      <w:tr w:rsidR="00454BF3" w:rsidTr="007A19C5">
        <w:tc>
          <w:tcPr>
            <w:tcW w:w="534" w:type="dxa"/>
          </w:tcPr>
          <w:p w:rsidR="00454BF3" w:rsidRPr="00454BF3" w:rsidRDefault="00116899" w:rsidP="00FD24EA">
            <w:pPr>
              <w:jc w:val="both"/>
              <w:rPr>
                <w:bCs/>
                <w:sz w:val="23"/>
                <w:szCs w:val="23"/>
              </w:rPr>
            </w:pPr>
            <w:r w:rsidRPr="00116899">
              <w:rPr>
                <w:bCs/>
                <w:sz w:val="23"/>
                <w:szCs w:val="23"/>
              </w:rPr>
              <w:t>32</w:t>
            </w:r>
          </w:p>
        </w:tc>
        <w:tc>
          <w:tcPr>
            <w:tcW w:w="3118" w:type="dxa"/>
          </w:tcPr>
          <w:p w:rsidR="00454BF3" w:rsidRPr="00454BF3" w:rsidRDefault="00116899" w:rsidP="00FD24EA">
            <w:pPr>
              <w:jc w:val="both"/>
              <w:rPr>
                <w:bCs/>
                <w:sz w:val="23"/>
                <w:szCs w:val="23"/>
              </w:rPr>
            </w:pPr>
            <w:r w:rsidRPr="00116899">
              <w:rPr>
                <w:bCs/>
                <w:sz w:val="23"/>
                <w:szCs w:val="23"/>
              </w:rPr>
              <w:t>Magné Anne Mélanie</w:t>
            </w:r>
          </w:p>
        </w:tc>
        <w:tc>
          <w:tcPr>
            <w:tcW w:w="1559" w:type="dxa"/>
          </w:tcPr>
          <w:p w:rsidR="00454BF3" w:rsidRPr="00454BF3" w:rsidRDefault="00116899" w:rsidP="00FD24EA">
            <w:pPr>
              <w:jc w:val="both"/>
              <w:rPr>
                <w:bCs/>
                <w:sz w:val="23"/>
                <w:szCs w:val="23"/>
              </w:rPr>
            </w:pPr>
            <w:r w:rsidRPr="00116899">
              <w:rPr>
                <w:bCs/>
                <w:sz w:val="23"/>
                <w:szCs w:val="23"/>
              </w:rPr>
              <w:t>MINEPAT</w:t>
            </w:r>
          </w:p>
        </w:tc>
        <w:tc>
          <w:tcPr>
            <w:tcW w:w="4395" w:type="dxa"/>
          </w:tcPr>
          <w:p w:rsidR="00454BF3" w:rsidRPr="00454BF3" w:rsidRDefault="00116899" w:rsidP="00FD24EA">
            <w:pPr>
              <w:jc w:val="both"/>
              <w:rPr>
                <w:bCs/>
                <w:sz w:val="23"/>
                <w:szCs w:val="23"/>
              </w:rPr>
            </w:pPr>
            <w:r w:rsidRPr="00116899">
              <w:rPr>
                <w:bCs/>
                <w:sz w:val="23"/>
                <w:szCs w:val="23"/>
              </w:rPr>
              <w:t>Cadre</w:t>
            </w:r>
          </w:p>
        </w:tc>
      </w:tr>
    </w:tbl>
    <w:p w:rsidR="001B42C2" w:rsidRPr="00B54660" w:rsidRDefault="001B42C2" w:rsidP="00FD24EA">
      <w:pPr>
        <w:jc w:val="both"/>
        <w:rPr>
          <w:b/>
          <w:bCs/>
          <w:sz w:val="23"/>
          <w:szCs w:val="23"/>
        </w:rPr>
      </w:pPr>
    </w:p>
    <w:p w:rsidR="00FD24EA" w:rsidRDefault="00FD24EA" w:rsidP="00FD24EA">
      <w:pPr>
        <w:spacing w:before="240"/>
        <w:jc w:val="both"/>
        <w:rPr>
          <w:b/>
          <w:bCs/>
        </w:rPr>
      </w:pPr>
    </w:p>
    <w:p w:rsidR="00FD24EA" w:rsidRDefault="00FD24EA" w:rsidP="00FD24EA">
      <w:pPr>
        <w:spacing w:before="240"/>
        <w:jc w:val="both"/>
        <w:rPr>
          <w:b/>
          <w:bCs/>
        </w:rPr>
      </w:pPr>
    </w:p>
    <w:p w:rsidR="004F4C95" w:rsidRDefault="004F4C95">
      <w:pPr>
        <w:rPr>
          <w:b/>
          <w:bCs/>
        </w:rPr>
      </w:pPr>
      <w:r>
        <w:rPr>
          <w:b/>
          <w:bCs/>
        </w:rPr>
        <w:br w:type="page"/>
      </w:r>
    </w:p>
    <w:p w:rsidR="00A703E6" w:rsidRDefault="004B51E1" w:rsidP="004F4C95">
      <w:pPr>
        <w:spacing w:after="240"/>
        <w:jc w:val="both"/>
        <w:rPr>
          <w:b/>
          <w:sz w:val="32"/>
          <w:szCs w:val="32"/>
        </w:rPr>
      </w:pPr>
      <w:r>
        <w:rPr>
          <w:b/>
        </w:rPr>
        <w:lastRenderedPageBreak/>
        <w:t>Tableau A14</w:t>
      </w:r>
      <w:r w:rsidR="00FD24EA" w:rsidRPr="00711F17">
        <w:rPr>
          <w:b/>
        </w:rPr>
        <w:t>.Liste des agents de collecte des données et superviseurs pour la modélisation du dividende démographique au Cameroun</w:t>
      </w:r>
    </w:p>
    <w:tbl>
      <w:tblPr>
        <w:tblStyle w:val="Grilledutableau"/>
        <w:tblW w:w="9180" w:type="dxa"/>
        <w:tblLayout w:type="fixed"/>
        <w:tblLook w:val="04A0"/>
      </w:tblPr>
      <w:tblGrid>
        <w:gridCol w:w="534"/>
        <w:gridCol w:w="6237"/>
        <w:gridCol w:w="2409"/>
      </w:tblGrid>
      <w:tr w:rsidR="00FD24EA" w:rsidTr="00FD24EA">
        <w:trPr>
          <w:trHeight w:val="526"/>
        </w:trPr>
        <w:tc>
          <w:tcPr>
            <w:tcW w:w="534" w:type="dxa"/>
            <w:tcBorders>
              <w:top w:val="single" w:sz="4" w:space="0" w:color="auto"/>
              <w:left w:val="single" w:sz="4" w:space="0" w:color="auto"/>
              <w:bottom w:val="single" w:sz="4" w:space="0" w:color="auto"/>
              <w:right w:val="single" w:sz="4" w:space="0" w:color="auto"/>
            </w:tcBorders>
            <w:hideMark/>
          </w:tcPr>
          <w:p w:rsidR="00FD24EA" w:rsidRPr="00711F17" w:rsidRDefault="00FD24EA" w:rsidP="00FD24EA">
            <w:pPr>
              <w:rPr>
                <w:rFonts w:cs="Times New Roman"/>
                <w:b/>
                <w:lang w:val="en-CA" w:eastAsia="en-US"/>
              </w:rPr>
            </w:pPr>
            <w:r w:rsidRPr="00711F17">
              <w:rPr>
                <w:rFonts w:cs="Times New Roman"/>
                <w:b/>
                <w:lang w:val="en-CA"/>
              </w:rPr>
              <w:t>Nº</w:t>
            </w:r>
          </w:p>
        </w:tc>
        <w:tc>
          <w:tcPr>
            <w:tcW w:w="6237" w:type="dxa"/>
            <w:tcBorders>
              <w:top w:val="single" w:sz="4" w:space="0" w:color="auto"/>
              <w:left w:val="single" w:sz="4" w:space="0" w:color="auto"/>
              <w:bottom w:val="single" w:sz="4" w:space="0" w:color="auto"/>
              <w:right w:val="single" w:sz="4" w:space="0" w:color="auto"/>
            </w:tcBorders>
            <w:hideMark/>
          </w:tcPr>
          <w:p w:rsidR="00FD24EA" w:rsidRPr="00711F17" w:rsidRDefault="00FD24EA" w:rsidP="00FD24EA">
            <w:pPr>
              <w:rPr>
                <w:rFonts w:cs="Times New Roman"/>
                <w:b/>
                <w:lang w:val="en-CA" w:eastAsia="en-US"/>
              </w:rPr>
            </w:pPr>
            <w:r w:rsidRPr="00711F17">
              <w:rPr>
                <w:rFonts w:cs="Times New Roman"/>
                <w:b/>
                <w:lang w:val="en-CA"/>
              </w:rPr>
              <w:t>Nom et prénoms</w:t>
            </w:r>
          </w:p>
        </w:tc>
        <w:tc>
          <w:tcPr>
            <w:tcW w:w="2409" w:type="dxa"/>
            <w:tcBorders>
              <w:top w:val="single" w:sz="4" w:space="0" w:color="auto"/>
              <w:left w:val="single" w:sz="4" w:space="0" w:color="auto"/>
              <w:bottom w:val="single" w:sz="4" w:space="0" w:color="auto"/>
              <w:right w:val="single" w:sz="4" w:space="0" w:color="auto"/>
            </w:tcBorders>
            <w:hideMark/>
          </w:tcPr>
          <w:p w:rsidR="00FD24EA" w:rsidRPr="00711F17" w:rsidRDefault="00FD24EA" w:rsidP="00FD24EA">
            <w:pPr>
              <w:rPr>
                <w:rFonts w:cs="Times New Roman"/>
                <w:b/>
                <w:lang w:val="en-CA" w:eastAsia="en-US"/>
              </w:rPr>
            </w:pPr>
            <w:proofErr w:type="spellStart"/>
            <w:r w:rsidRPr="00711F17">
              <w:rPr>
                <w:rFonts w:cs="Times New Roman"/>
                <w:b/>
                <w:lang w:val="en-CA"/>
              </w:rPr>
              <w:t>Fonction</w:t>
            </w:r>
            <w:proofErr w:type="spellEnd"/>
          </w:p>
        </w:tc>
      </w:tr>
      <w:tr w:rsidR="00FD24EA" w:rsidTr="00FD24EA">
        <w:trPr>
          <w:trHeight w:val="278"/>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1</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rPr>
              <w:t>DE-BANGUIRYS Lidwine Sonia</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proofErr w:type="spellStart"/>
            <w:r>
              <w:rPr>
                <w:rFonts w:cs="Times New Roman"/>
                <w:lang w:val="en-CA"/>
              </w:rPr>
              <w:t>Agente</w:t>
            </w:r>
            <w:proofErr w:type="spellEnd"/>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2</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rPr>
              <w:t>NJOYA Abdou Aziz</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3</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rPr>
              <w:t>NGANE Armel Vivien</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4</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fr-CA" w:eastAsia="en-US"/>
              </w:rPr>
            </w:pPr>
            <w:r>
              <w:rPr>
                <w:rFonts w:cs="Times New Roman"/>
              </w:rPr>
              <w:t xml:space="preserve">KOBA </w:t>
            </w:r>
            <w:proofErr w:type="spellStart"/>
            <w:r>
              <w:rPr>
                <w:rFonts w:cs="Times New Roman"/>
              </w:rPr>
              <w:t>Dagnon</w:t>
            </w:r>
            <w:proofErr w:type="spellEnd"/>
            <w:r>
              <w:rPr>
                <w:rFonts w:cs="Times New Roman"/>
              </w:rPr>
              <w:t xml:space="preserve"> </w:t>
            </w:r>
            <w:proofErr w:type="spellStart"/>
            <w:r>
              <w:rPr>
                <w:rFonts w:cs="Times New Roman"/>
              </w:rPr>
              <w:t>Sourou</w:t>
            </w:r>
            <w:proofErr w:type="spellEnd"/>
            <w:r>
              <w:rPr>
                <w:rFonts w:cs="Times New Roman"/>
              </w:rPr>
              <w:t xml:space="preserve"> Bruno </w:t>
            </w:r>
            <w:proofErr w:type="spellStart"/>
            <w:r>
              <w:rPr>
                <w:rFonts w:cs="Times New Roman"/>
              </w:rPr>
              <w:t>Eric</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5</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rPr>
              <w:t>EBWEL Julien Cyrille</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6</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fr-CA" w:eastAsia="en-US"/>
              </w:rPr>
            </w:pPr>
            <w:r>
              <w:rPr>
                <w:rFonts w:cs="Times New Roman"/>
              </w:rPr>
              <w:t>AYABA NDONGO Lionel Jonathan</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fr-CA" w:eastAsia="en-US"/>
              </w:rPr>
            </w:pPr>
            <w:r>
              <w:rPr>
                <w:rFonts w:cs="Times New Roman"/>
                <w:lang w:val="en-CA"/>
              </w:rPr>
              <w:t>Agent</w:t>
            </w:r>
          </w:p>
        </w:tc>
      </w:tr>
      <w:tr w:rsidR="00FD24EA" w:rsidTr="00FD24EA">
        <w:trPr>
          <w:trHeight w:val="260"/>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7</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 xml:space="preserve">MBOUOMBOUO Mohamed </w:t>
            </w:r>
            <w:proofErr w:type="spellStart"/>
            <w:r>
              <w:rPr>
                <w:rFonts w:cs="Times New Roman"/>
                <w:lang w:val="en-CA"/>
              </w:rPr>
              <w:t>Moustapha</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8</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rPr>
              <w:t xml:space="preserve">AKOU </w:t>
            </w:r>
            <w:proofErr w:type="spellStart"/>
            <w:r>
              <w:rPr>
                <w:rFonts w:cs="Times New Roman"/>
              </w:rPr>
              <w:t>Romanus</w:t>
            </w:r>
            <w:proofErr w:type="spellEnd"/>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263"/>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9</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 xml:space="preserve">BIKOM A BITEGNI </w:t>
            </w:r>
            <w:proofErr w:type="spellStart"/>
            <w:r>
              <w:rPr>
                <w:rFonts w:cs="Times New Roman"/>
                <w:lang w:val="en-CA"/>
              </w:rPr>
              <w:t>Marthe</w:t>
            </w:r>
            <w:proofErr w:type="spellEnd"/>
            <w:r>
              <w:rPr>
                <w:rFonts w:cs="Times New Roman"/>
                <w:lang w:val="en-CA"/>
              </w:rPr>
              <w:t xml:space="preserve"> Florence </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proofErr w:type="spellStart"/>
            <w:r>
              <w:rPr>
                <w:rFonts w:cs="Times New Roman"/>
                <w:lang w:val="en-CA"/>
              </w:rPr>
              <w:t>Agente</w:t>
            </w:r>
            <w:proofErr w:type="spellEnd"/>
          </w:p>
        </w:tc>
      </w:tr>
      <w:tr w:rsidR="00FD24EA" w:rsidTr="00FD24EA">
        <w:trPr>
          <w:trHeight w:val="68"/>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10</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rPr>
              <w:t>MENGUE Angèle Nelly</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Agent</w:t>
            </w:r>
          </w:p>
        </w:tc>
      </w:tr>
      <w:tr w:rsidR="00FD24EA" w:rsidTr="00FD24EA">
        <w:trPr>
          <w:trHeight w:val="68"/>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11</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4B51E1" w:rsidP="00FD24EA">
            <w:pPr>
              <w:rPr>
                <w:rFonts w:cs="Times New Roman"/>
                <w:lang w:eastAsia="en-US"/>
              </w:rPr>
            </w:pPr>
            <w:r>
              <w:rPr>
                <w:rFonts w:cs="Times New Roman"/>
              </w:rPr>
              <w:t xml:space="preserve">Dr </w:t>
            </w:r>
            <w:r w:rsidR="00FD24EA">
              <w:rPr>
                <w:rFonts w:cs="Times New Roman"/>
              </w:rPr>
              <w:t>BOUBA DJOURDEBBÉ Franklin</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proofErr w:type="spellStart"/>
            <w:r>
              <w:rPr>
                <w:rFonts w:cs="Times New Roman"/>
                <w:lang w:val="en-CA"/>
              </w:rPr>
              <w:t>Superviseur</w:t>
            </w:r>
            <w:proofErr w:type="spellEnd"/>
          </w:p>
        </w:tc>
      </w:tr>
      <w:tr w:rsidR="00FD24EA" w:rsidTr="00FD24EA">
        <w:trPr>
          <w:trHeight w:val="68"/>
        </w:trPr>
        <w:tc>
          <w:tcPr>
            <w:tcW w:w="534"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r>
              <w:rPr>
                <w:rFonts w:cs="Times New Roman"/>
                <w:lang w:val="en-CA"/>
              </w:rPr>
              <w:t>12</w:t>
            </w:r>
          </w:p>
        </w:tc>
        <w:tc>
          <w:tcPr>
            <w:tcW w:w="6237" w:type="dxa"/>
            <w:tcBorders>
              <w:top w:val="single" w:sz="4" w:space="0" w:color="auto"/>
              <w:left w:val="single" w:sz="4" w:space="0" w:color="auto"/>
              <w:bottom w:val="single" w:sz="4" w:space="0" w:color="auto"/>
              <w:right w:val="single" w:sz="4" w:space="0" w:color="auto"/>
            </w:tcBorders>
            <w:hideMark/>
          </w:tcPr>
          <w:p w:rsidR="00FD24EA" w:rsidRDefault="004B51E1" w:rsidP="00FD24EA">
            <w:pPr>
              <w:rPr>
                <w:rFonts w:cs="Times New Roman"/>
                <w:lang w:val="en-CA" w:eastAsia="en-US"/>
              </w:rPr>
            </w:pPr>
            <w:r>
              <w:rPr>
                <w:rFonts w:cs="Times New Roman"/>
                <w:lang w:val="en-CA"/>
              </w:rPr>
              <w:t xml:space="preserve">Dr </w:t>
            </w:r>
            <w:r w:rsidR="00FD24EA">
              <w:rPr>
                <w:rFonts w:cs="Times New Roman"/>
                <w:lang w:val="en-CA"/>
              </w:rPr>
              <w:t>FIONG A BITEGNI Jean Bosco</w:t>
            </w:r>
          </w:p>
        </w:tc>
        <w:tc>
          <w:tcPr>
            <w:tcW w:w="2409" w:type="dxa"/>
            <w:tcBorders>
              <w:top w:val="single" w:sz="4" w:space="0" w:color="auto"/>
              <w:left w:val="single" w:sz="4" w:space="0" w:color="auto"/>
              <w:bottom w:val="single" w:sz="4" w:space="0" w:color="auto"/>
              <w:right w:val="single" w:sz="4" w:space="0" w:color="auto"/>
            </w:tcBorders>
            <w:hideMark/>
          </w:tcPr>
          <w:p w:rsidR="00FD24EA" w:rsidRDefault="00FD24EA" w:rsidP="00FD24EA">
            <w:pPr>
              <w:rPr>
                <w:rFonts w:cs="Times New Roman"/>
                <w:lang w:val="en-CA" w:eastAsia="en-US"/>
              </w:rPr>
            </w:pPr>
            <w:proofErr w:type="spellStart"/>
            <w:r>
              <w:rPr>
                <w:rFonts w:cs="Times New Roman"/>
                <w:lang w:val="en-CA"/>
              </w:rPr>
              <w:t>Superviseur</w:t>
            </w:r>
            <w:proofErr w:type="spellEnd"/>
          </w:p>
        </w:tc>
      </w:tr>
    </w:tbl>
    <w:p w:rsidR="001251FF" w:rsidRPr="007B3A5A" w:rsidRDefault="001251FF" w:rsidP="006924E0">
      <w:pPr>
        <w:pStyle w:val="Lgende"/>
        <w:keepNext/>
        <w:spacing w:after="100"/>
        <w:rPr>
          <w:rFonts w:ascii="Tw Cen MT" w:hAnsi="Tw Cen MT" w:cs="Tw Cen MT"/>
          <w:b/>
          <w:bCs/>
        </w:rPr>
      </w:pPr>
    </w:p>
    <w:sectPr w:rsidR="001251FF" w:rsidRPr="007B3A5A" w:rsidSect="006924E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ECE" w:rsidRDefault="00B72ECE" w:rsidP="00B63E0F">
      <w:r>
        <w:separator/>
      </w:r>
    </w:p>
  </w:endnote>
  <w:endnote w:type="continuationSeparator" w:id="1">
    <w:p w:rsidR="00B72ECE" w:rsidRDefault="00B72ECE" w:rsidP="00B63E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imes New Roman Gras">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Bold">
    <w:charset w:val="00"/>
    <w:family w:val="auto"/>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ECE" w:rsidRDefault="001B585D">
    <w:pPr>
      <w:pStyle w:val="Pieddepage"/>
      <w:jc w:val="right"/>
    </w:pPr>
    <w:fldSimple w:instr=" PAGE   \* MERGEFORMAT ">
      <w:r w:rsidR="00113CA8">
        <w:rPr>
          <w:noProof/>
        </w:rPr>
        <w:t>1</w:t>
      </w:r>
    </w:fldSimple>
  </w:p>
  <w:p w:rsidR="00B72ECE" w:rsidRDefault="00B72ECE" w:rsidP="002636CD">
    <w:pPr>
      <w:pStyle w:val="Pieddepage"/>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ECE" w:rsidRDefault="00B72ECE" w:rsidP="00B63E0F">
      <w:r>
        <w:separator/>
      </w:r>
    </w:p>
  </w:footnote>
  <w:footnote w:type="continuationSeparator" w:id="1">
    <w:p w:rsidR="00B72ECE" w:rsidRDefault="00B72ECE" w:rsidP="00B63E0F">
      <w:r>
        <w:continuationSeparator/>
      </w:r>
    </w:p>
  </w:footnote>
  <w:footnote w:id="2">
    <w:p w:rsidR="00B72ECE" w:rsidRPr="003314ED" w:rsidRDefault="00B72ECE">
      <w:pPr>
        <w:pStyle w:val="Notedebasdepage"/>
        <w:rPr>
          <w:lang w:val="fr-CM"/>
        </w:rPr>
      </w:pPr>
      <w:r>
        <w:rPr>
          <w:rStyle w:val="Appelnotedebasdep"/>
        </w:rPr>
        <w:footnoteRef/>
      </w:r>
      <w:r>
        <w:t xml:space="preserve"> L’AFIDEP a recommandé au</w:t>
      </w:r>
      <w:r w:rsidRPr="003314ED">
        <w:t xml:space="preserve"> Cameroun d’utiliser deux modélisations DEMDIV et NTA dans la mesure où el</w:t>
      </w:r>
      <w:r>
        <w:t>les aideront le pays à obtenir d</w:t>
      </w:r>
      <w:r w:rsidRPr="003314ED">
        <w:t>es éléments pertinents qui l’aideront à assurer l’engagement politique (à partir du DEMDIV)</w:t>
      </w:r>
      <w:r>
        <w:t>,</w:t>
      </w:r>
      <w:r w:rsidRPr="003314ED">
        <w:t xml:space="preserve"> mais aussi les données détaillées qui lui permettront de comprendre la production, la consommation et les ratios de dépendance/excédents (à partir des NTA), données essentielles pour guider l’action politique à adopter</w:t>
      </w:r>
      <w:r>
        <w:t xml:space="preserve"> (AFIDEP, 2015)</w:t>
      </w:r>
      <w:r w:rsidRPr="003314ED">
        <w:t>.</w:t>
      </w:r>
    </w:p>
  </w:footnote>
  <w:footnote w:id="3">
    <w:p w:rsidR="00B72ECE" w:rsidRPr="00A703E6" w:rsidRDefault="00B72ECE">
      <w:pPr>
        <w:pStyle w:val="Notedebasdepage"/>
        <w:rPr>
          <w:lang w:val="fr-CM"/>
        </w:rPr>
      </w:pPr>
      <w:r>
        <w:rPr>
          <w:rStyle w:val="Appelnotedebasdep"/>
        </w:rPr>
        <w:footnoteRef/>
      </w:r>
      <w:r w:rsidRPr="00A703E6">
        <w:t>Il existe plusieurs modèles pour projeter le dividende démographique d’un pay</w:t>
      </w:r>
      <w:r>
        <w:t>s dont les principaux sont DemD</w:t>
      </w:r>
      <w:r w:rsidRPr="00A703E6">
        <w:t xml:space="preserve">iv et NTA (National Transfer </w:t>
      </w:r>
      <w:proofErr w:type="spellStart"/>
      <w:r w:rsidRPr="00A703E6">
        <w:t>Account</w:t>
      </w:r>
      <w:r>
        <w:t>s</w:t>
      </w:r>
      <w:proofErr w:type="spellEnd"/>
      <w:r w:rsidRPr="00A703E6">
        <w:t>).</w:t>
      </w:r>
    </w:p>
  </w:footnote>
  <w:footnote w:id="4">
    <w:p w:rsidR="00B72ECE" w:rsidRPr="007178AC" w:rsidRDefault="00B72ECE" w:rsidP="000A6219">
      <w:pPr>
        <w:jc w:val="both"/>
        <w:rPr>
          <w:rFonts w:ascii="Arial" w:hAnsi="Arial" w:cs="Arial"/>
        </w:rPr>
      </w:pPr>
      <w:r w:rsidRPr="00A703E6">
        <w:rPr>
          <w:rStyle w:val="Appelnotedebasdep"/>
          <w:sz w:val="20"/>
          <w:szCs w:val="20"/>
        </w:rPr>
        <w:footnoteRef/>
      </w:r>
      <w:r w:rsidRPr="002F03FD">
        <w:rPr>
          <w:sz w:val="20"/>
          <w:szCs w:val="20"/>
          <w:lang w:val="en-CA"/>
        </w:rPr>
        <w:t xml:space="preserve"> </w:t>
      </w:r>
      <w:proofErr w:type="gramStart"/>
      <w:r w:rsidRPr="002F03FD">
        <w:rPr>
          <w:sz w:val="20"/>
          <w:szCs w:val="20"/>
          <w:lang w:val="en-CA"/>
        </w:rPr>
        <w:t>Lee, R., A. Mason and T. Miller (2003).</w:t>
      </w:r>
      <w:proofErr w:type="gramEnd"/>
      <w:r w:rsidRPr="002F03FD">
        <w:rPr>
          <w:sz w:val="20"/>
          <w:szCs w:val="20"/>
          <w:lang w:val="en-CA"/>
        </w:rPr>
        <w:t xml:space="preserve"> Saving, Wealth and the Transition from Transfers to individual Responsibility: The cases of Taiwan and the United States. </w:t>
      </w:r>
      <w:r w:rsidRPr="00A703E6">
        <w:rPr>
          <w:i/>
          <w:iCs/>
          <w:sz w:val="20"/>
          <w:szCs w:val="20"/>
        </w:rPr>
        <w:t xml:space="preserve">The </w:t>
      </w:r>
      <w:proofErr w:type="spellStart"/>
      <w:r w:rsidRPr="00A703E6">
        <w:rPr>
          <w:i/>
          <w:iCs/>
          <w:sz w:val="20"/>
          <w:szCs w:val="20"/>
        </w:rPr>
        <w:t>Scandinavian</w:t>
      </w:r>
      <w:proofErr w:type="spellEnd"/>
      <w:r w:rsidRPr="00A703E6">
        <w:rPr>
          <w:i/>
          <w:iCs/>
          <w:sz w:val="20"/>
          <w:szCs w:val="20"/>
        </w:rPr>
        <w:t xml:space="preserve"> Journal of </w:t>
      </w:r>
      <w:proofErr w:type="spellStart"/>
      <w:r w:rsidRPr="00A703E6">
        <w:rPr>
          <w:i/>
          <w:iCs/>
          <w:sz w:val="20"/>
          <w:szCs w:val="20"/>
        </w:rPr>
        <w:t>Economics</w:t>
      </w:r>
      <w:proofErr w:type="spellEnd"/>
      <w:r w:rsidRPr="00A703E6">
        <w:rPr>
          <w:sz w:val="20"/>
          <w:szCs w:val="20"/>
        </w:rPr>
        <w:t>, 105, 339-357.</w:t>
      </w:r>
    </w:p>
  </w:footnote>
  <w:footnote w:id="5">
    <w:p w:rsidR="00B72ECE" w:rsidRDefault="00B72ECE">
      <w:pPr>
        <w:pStyle w:val="Notedebasdepage"/>
      </w:pPr>
      <w:r>
        <w:rPr>
          <w:rStyle w:val="Appelnotedebasdep"/>
        </w:rPr>
        <w:footnoteRef/>
      </w:r>
      <w:r w:rsidRPr="00116899">
        <w:t>L’implémentation du modèle DemDiv par Spectrum nécessite des hypothèses sur 40 années de projection.</w:t>
      </w:r>
    </w:p>
  </w:footnote>
  <w:footnote w:id="6">
    <w:p w:rsidR="00B72ECE" w:rsidRDefault="00B72ECE">
      <w:pPr>
        <w:pStyle w:val="Notedebasdepage"/>
      </w:pPr>
      <w:r>
        <w:rPr>
          <w:rStyle w:val="Appelnotedebasdep"/>
        </w:rPr>
        <w:footnoteRef/>
      </w:r>
      <w:r>
        <w:t xml:space="preserve"> A titre de rappel ici : la structure de la population, la santé, la gouvernance, l'économie et l'éducation. </w:t>
      </w:r>
    </w:p>
  </w:footnote>
  <w:footnote w:id="7">
    <w:p w:rsidR="00B72ECE" w:rsidRDefault="00B72ECE" w:rsidP="005A4D91">
      <w:pPr>
        <w:pStyle w:val="Notedebasdepage"/>
      </w:pPr>
      <w:r>
        <w:rPr>
          <w:rStyle w:val="Appelnotedebasdep"/>
        </w:rPr>
        <w:footnoteRef/>
      </w:r>
      <w:r>
        <w:t xml:space="preserve"> Épuisement des réserves du pétrole.</w:t>
      </w:r>
    </w:p>
  </w:footnote>
  <w:footnote w:id="8">
    <w:p w:rsidR="00B72ECE" w:rsidRDefault="00B72ECE">
      <w:pPr>
        <w:pStyle w:val="Notedebasdepage"/>
      </w:pPr>
      <w:r>
        <w:rPr>
          <w:rStyle w:val="Appelnotedebasdep"/>
        </w:rPr>
        <w:footnoteRef/>
      </w:r>
      <w:r w:rsidRPr="00421E7B">
        <w:rPr>
          <w:color w:val="auto"/>
        </w:rPr>
        <w:t>Dans le cas du Cameroun, le marché du travail est caractérisé par une prépondérance du secteur informel. Le taux d’informalité se situe à 90,5% en 2010 contre 90,4% en 2005 (INS, 2011). Ainsi, les emplois se répartissent entre les secteurs informel non agricole (53,0%), ii) informel agricole (37,5%), public (5,8%) et privé formel (3,7%) (INS, 2011). Les jeunes de 15-34 ans exercent en majorité (92,0%) dans le secteur informel (INS, 2011).</w:t>
      </w:r>
    </w:p>
  </w:footnote>
  <w:footnote w:id="9">
    <w:p w:rsidR="00B72ECE" w:rsidRDefault="00B72ECE">
      <w:pPr>
        <w:pStyle w:val="Notedebasdepage"/>
      </w:pPr>
      <w:r>
        <w:rPr>
          <w:rStyle w:val="Appelnotedebasdep"/>
        </w:rPr>
        <w:footnoteRef/>
      </w:r>
      <w:r>
        <w:t xml:space="preserve"> L'espérance de vie à la naissance est étroitement liée à la survie infantile (survie des enfants à un an exact). Une baisse de la mortalité et de la mortalité infantile en particulier entraîne automatique une hausse de l'espérance de vie à la naissance.</w:t>
      </w:r>
    </w:p>
  </w:footnote>
  <w:footnote w:id="10">
    <w:p w:rsidR="00B72ECE" w:rsidRDefault="00B72ECE">
      <w:pPr>
        <w:pStyle w:val="Notedebasdepage"/>
      </w:pPr>
      <w:r>
        <w:rPr>
          <w:rStyle w:val="Appelnotedebasdep"/>
        </w:rPr>
        <w:footnoteRef/>
      </w:r>
      <w:r>
        <w:t xml:space="preserve"> Il en est par exemple de la durée d'abstinence entre deux naissances qui a fondu de plus de trois ans à moins d'un an aujourd'hui en moyenne.</w:t>
      </w:r>
    </w:p>
  </w:footnote>
  <w:footnote w:id="11">
    <w:p w:rsidR="00B72ECE" w:rsidRDefault="00B72ECE">
      <w:pPr>
        <w:pStyle w:val="Notedebasdepage"/>
      </w:pPr>
      <w:r>
        <w:rPr>
          <w:rStyle w:val="Appelnotedebasdep"/>
        </w:rPr>
        <w:footnoteRef/>
      </w:r>
      <w:r w:rsidRPr="00EC2E68">
        <w:rPr>
          <w:lang w:val="fr-CA"/>
        </w:rPr>
        <w:t xml:space="preserve">C’est ainsi qu’il existe parfois une préférence pour les méthodes traditionnelles </w:t>
      </w:r>
      <w:r w:rsidR="001B585D" w:rsidRPr="00EC2E68">
        <w:rPr>
          <w:lang w:val="fr-CA"/>
        </w:rPr>
        <w:fldChar w:fldCharType="begin"/>
      </w:r>
      <w:r w:rsidRPr="00EC2E68">
        <w:rPr>
          <w:lang w:val="fr-CA"/>
        </w:rPr>
        <w:instrText xml:space="preserve"> ADDIN EN.CITE &lt;EndNote&gt;&lt;Cite&gt;&lt;Author&gt;Delaunay&lt;/Author&gt;&lt;Year&gt;2007&lt;/Year&gt;&lt;RecNum&gt;1699&lt;/RecNum&gt;&lt;DisplayText&gt;(Delaunay and Guillaume, 2007)&lt;/DisplayText&gt;&lt;record&gt;&lt;rec-number&gt;1699&lt;/rec-number&gt;&lt;foreign-keys&gt;&lt;key app="EN" db-id="rp90rxe0lfwt04ewwrups2vqpf2xffxfw022" timestamp="1479553445"&gt;1699&lt;/key&gt;&lt;/foreign-keys&gt;&lt;ref-type name="Book Section"&gt;5&lt;/ref-type&gt;&lt;contributors&gt;&lt;authors&gt;&lt;author&gt;Delaunay, Valérie&lt;/author&gt;&lt;author&gt;Guillaume, Agnès&lt;/author&gt;&lt;/authors&gt;&lt;/contributors&gt;&lt;titles&gt;&lt;title&gt;Sexualité et mode de contrôle de la fécondité chez les jeunes en Afrique subsaharienne&lt;/title&gt;&lt;secondary-title&gt;Santé de la reproduction et fécondité dans les pays du Sud. Nouveaux contextes et nouveaux comportements&lt;/secondary-title&gt;&lt;/titles&gt;&lt;pages&gt;215-267&lt;/pages&gt;&lt;dates&gt;&lt;year&gt;2007&lt;/year&gt;&lt;/dates&gt;&lt;pub-location&gt;Louvain-la-Neuve&lt;/pub-location&gt;&lt;publisher&gt;Academia-Bruylant&lt;/publisher&gt;&lt;urls&gt;&lt;/urls&gt;&lt;/record&gt;&lt;/Cite&gt;&lt;/EndNote&gt;</w:instrText>
      </w:r>
      <w:r w:rsidR="001B585D" w:rsidRPr="00EC2E68">
        <w:rPr>
          <w:lang w:val="fr-CA"/>
        </w:rPr>
        <w:fldChar w:fldCharType="separate"/>
      </w:r>
      <w:r w:rsidRPr="00EC2E68">
        <w:rPr>
          <w:noProof/>
          <w:lang w:val="fr-CA"/>
        </w:rPr>
        <w:t>(</w:t>
      </w:r>
      <w:hyperlink w:anchor="_ENREF_14" w:tooltip="Delaunay, 2007 #1699" w:history="1">
        <w:r w:rsidRPr="00EC2E68">
          <w:rPr>
            <w:noProof/>
            <w:lang w:val="fr-CA"/>
          </w:rPr>
          <w:t xml:space="preserve">Delaunay </w:t>
        </w:r>
        <w:r>
          <w:rPr>
            <w:noProof/>
            <w:lang w:val="fr-CA"/>
          </w:rPr>
          <w:t>et</w:t>
        </w:r>
        <w:r w:rsidRPr="00EC2E68">
          <w:rPr>
            <w:noProof/>
            <w:lang w:val="fr-CA"/>
          </w:rPr>
          <w:t xml:space="preserve"> Guillaume, 2007</w:t>
        </w:r>
      </w:hyperlink>
      <w:r w:rsidRPr="00EC2E68">
        <w:rPr>
          <w:noProof/>
          <w:lang w:val="fr-CA"/>
        </w:rPr>
        <w:t>)</w:t>
      </w:r>
      <w:r w:rsidR="001B585D" w:rsidRPr="00EC2E68">
        <w:rPr>
          <w:lang w:val="fr-CA"/>
        </w:rPr>
        <w:fldChar w:fldCharType="end"/>
      </w:r>
      <w:r w:rsidRPr="00EC2E68">
        <w:rPr>
          <w:lang w:val="fr-CA"/>
        </w:rPr>
        <w:t xml:space="preserve">. Dans certains contextes, des études montrent que la méthode du calendrier semble être sûre, car elle n’a aucune conséquence sur l’état de santé de la femme </w:t>
      </w:r>
      <w:r w:rsidR="001B585D" w:rsidRPr="00EC2E68">
        <w:rPr>
          <w:lang w:val="fr-CA"/>
        </w:rPr>
        <w:fldChar w:fldCharType="begin"/>
      </w:r>
      <w:r w:rsidRPr="00EC2E68">
        <w:rPr>
          <w:lang w:val="fr-CA"/>
        </w:rPr>
        <w:instrText xml:space="preserve"> ADDIN EN.CITE &lt;EndNote&gt;&lt;Cite&gt;&lt;Author&gt;Baxerres&lt;/Author&gt;&lt;Year&gt;2015&lt;/Year&gt;&lt;RecNum&gt;1704&lt;/RecNum&gt;&lt;DisplayText&gt;(Baxerres et al., 2015)&lt;/DisplayText&gt;&lt;record&gt;&lt;rec-number&gt;1704&lt;/rec-number&gt;&lt;foreign-keys&gt;&lt;key app="EN" db-id="rp90rxe0lfwt04ewwrups2vqpf2xffxfw022" timestamp="1479554673"&gt;1704&lt;/key&gt;&lt;/foreign-keys&gt;&lt;ref-type name="Book"&gt;6&lt;/ref-type&gt;&lt;contributors&gt;&lt;authors&gt;&lt;author&gt;Baxerres, C.&lt;/author&gt;&lt;author&gt;Guienne, V.&lt;/author&gt;&lt;author&gt;Houngnibi, R.&lt;/author&gt;&lt;author&gt;Marquis, C.&lt;/author&gt;&lt;/authors&gt;&lt;/contributors&gt;&lt;titles&gt;&lt;title&gt;L&amp;apos;automédication et ses déterminants: actes des rencontres francophones Nord/Sud&lt;/title&gt;&lt;/titles&gt;&lt;pages&gt;254&lt;/pages&gt;&lt;dates&gt;&lt;year&gt;2015&lt;/year&gt;&lt;/dates&gt;&lt;pub-location&gt;Cotonou&lt;/pub-location&gt;&lt;publisher&gt;IRD&lt;/publisher&gt;&lt;urls&gt;&lt;/urls&gt;&lt;/record&gt;&lt;/Cite&gt;&lt;/EndNote&gt;</w:instrText>
      </w:r>
      <w:r w:rsidR="001B585D" w:rsidRPr="00EC2E68">
        <w:rPr>
          <w:lang w:val="fr-CA"/>
        </w:rPr>
        <w:fldChar w:fldCharType="separate"/>
      </w:r>
      <w:r w:rsidRPr="00EC2E68">
        <w:rPr>
          <w:noProof/>
          <w:lang w:val="fr-CA"/>
        </w:rPr>
        <w:t>(</w:t>
      </w:r>
      <w:hyperlink w:anchor="_ENREF_2" w:tooltip="Baxerres, 2015 #1704" w:history="1">
        <w:r w:rsidRPr="00EC2E68">
          <w:rPr>
            <w:noProof/>
            <w:lang w:val="fr-CA"/>
          </w:rPr>
          <w:t>Baxerres et al., 2015</w:t>
        </w:r>
      </w:hyperlink>
      <w:r w:rsidRPr="00EC2E68">
        <w:rPr>
          <w:noProof/>
          <w:lang w:val="fr-CA"/>
        </w:rPr>
        <w:t>)</w:t>
      </w:r>
      <w:r w:rsidR="001B585D" w:rsidRPr="00EC2E68">
        <w:rPr>
          <w:lang w:val="fr-CA"/>
        </w:rPr>
        <w:fldChar w:fldCharType="end"/>
      </w:r>
      <w:r w:rsidRPr="00EC2E68">
        <w:rPr>
          <w:lang w:val="fr-CA"/>
        </w:rPr>
        <w:t>.</w:t>
      </w:r>
    </w:p>
  </w:footnote>
  <w:footnote w:id="12">
    <w:p w:rsidR="00B72ECE" w:rsidRPr="00243DEB" w:rsidRDefault="00B72ECE">
      <w:pPr>
        <w:pStyle w:val="Notedebasdepage"/>
      </w:pPr>
      <w:r>
        <w:rPr>
          <w:rStyle w:val="Appelnotedebasdep"/>
        </w:rPr>
        <w:footnoteRef/>
      </w:r>
      <w:r w:rsidRPr="00243DEB">
        <w:t xml:space="preserve">Hypothèse médiane entre l'hypothèse d'une évolution linéaire de la croissance passée et l'hypothèse forte </w:t>
      </w:r>
      <w:r>
        <w:t>du</w:t>
      </w:r>
      <w:r w:rsidR="002B6037">
        <w:t xml:space="preserve"> </w:t>
      </w:r>
      <w:r w:rsidRPr="00243DEB">
        <w:rPr>
          <w:bCs/>
        </w:rPr>
        <w:t>plan opérationnel PF 2015-2020, dont l’objectif est d’atteindre un taux de prévalence</w:t>
      </w:r>
      <w:r>
        <w:rPr>
          <w:bCs/>
        </w:rPr>
        <w:t xml:space="preserve"> contraceptive</w:t>
      </w:r>
      <w:r w:rsidRPr="00243DEB">
        <w:rPr>
          <w:bCs/>
        </w:rPr>
        <w:t xml:space="preserve"> moderne de 30% </w:t>
      </w:r>
      <w:r>
        <w:rPr>
          <w:bCs/>
        </w:rPr>
        <w:t>en 2027, soit une projection de près de 60% en 2050.</w:t>
      </w:r>
    </w:p>
  </w:footnote>
  <w:footnote w:id="13">
    <w:p w:rsidR="00B72ECE" w:rsidRDefault="00B72ECE">
      <w:pPr>
        <w:pStyle w:val="Notedebasdepage"/>
      </w:pPr>
      <w:r>
        <w:rPr>
          <w:rStyle w:val="Appelnotedebasdep"/>
        </w:rPr>
        <w:footnoteRef/>
      </w:r>
      <w:r w:rsidRPr="00EC2E68">
        <w:t>Pour la plupart des pays subsahariens, les enquêtes démographiques et de santé (EDS) montrent que cet indicateur varie très faiblement.</w:t>
      </w:r>
    </w:p>
  </w:footnote>
  <w:footnote w:id="14">
    <w:p w:rsidR="00B72ECE" w:rsidRDefault="00B72ECE" w:rsidP="005507B9">
      <w:pPr>
        <w:pStyle w:val="Notedebasdepage"/>
      </w:pPr>
      <w:r>
        <w:rPr>
          <w:rStyle w:val="Appelnotedebasdep"/>
        </w:rPr>
        <w:footnoteRef/>
      </w:r>
      <w:r>
        <w:t xml:space="preserve"> Le tableau complet de l'ensemble des indicateurs utilisés est repris en annexe.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E31"/>
    <w:multiLevelType w:val="hybridMultilevel"/>
    <w:tmpl w:val="370E7B40"/>
    <w:lvl w:ilvl="0" w:tplc="AA90F41A">
      <w:start w:val="1"/>
      <w:numFmt w:val="lowerLetter"/>
      <w:pStyle w:val="T5sec1c"/>
      <w:lvlText w:val="Tableau  5.1.3%1"/>
      <w:lvlJc w:val="left"/>
      <w:pPr>
        <w:ind w:left="1080" w:hanging="360"/>
      </w:pPr>
      <w:rPr>
        <w:rFonts w:hint="default"/>
        <w:b/>
        <w:bCs/>
        <w:i w:val="0"/>
        <w:iCs w:val="0"/>
        <w:sz w:val="24"/>
        <w:szCs w:val="24"/>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
    <w:nsid w:val="02BB6F0B"/>
    <w:multiLevelType w:val="multilevel"/>
    <w:tmpl w:val="8328FE08"/>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157CAC"/>
    <w:multiLevelType w:val="hybridMultilevel"/>
    <w:tmpl w:val="10B41CB6"/>
    <w:lvl w:ilvl="0" w:tplc="6D1E8858">
      <w:start w:val="1"/>
      <w:numFmt w:val="lowerLetter"/>
      <w:pStyle w:val="G5sec5"/>
      <w:lvlText w:val="Graphique  5.5.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nsid w:val="031D10A1"/>
    <w:multiLevelType w:val="hybridMultilevel"/>
    <w:tmpl w:val="5546E8D4"/>
    <w:lvl w:ilvl="0" w:tplc="034CFCC0">
      <w:start w:val="1"/>
      <w:numFmt w:val="lowerLetter"/>
      <w:pStyle w:val="T6sec1c"/>
      <w:lvlText w:val="Tableau 6.1.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nsid w:val="052507A8"/>
    <w:multiLevelType w:val="multilevel"/>
    <w:tmpl w:val="DD2C8C64"/>
    <w:lvl w:ilvl="0">
      <w:start w:val="3"/>
      <w:numFmt w:val="decimal"/>
      <w:lvlText w:val="%1.3.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5F119E4"/>
    <w:multiLevelType w:val="hybridMultilevel"/>
    <w:tmpl w:val="0F4C1BEA"/>
    <w:lvl w:ilvl="0" w:tplc="1DD6E8D0">
      <w:start w:val="1"/>
      <w:numFmt w:val="lowerLetter"/>
      <w:pStyle w:val="A2f"/>
      <w:lvlText w:val="Annexe 6.3.14%1"/>
      <w:lvlJc w:val="left"/>
      <w:pPr>
        <w:ind w:left="3960" w:hanging="360"/>
      </w:pPr>
      <w:rPr>
        <w:rFonts w:hint="default"/>
        <w:b/>
        <w:bCs/>
        <w:i/>
        <w:iCs/>
        <w:sz w:val="24"/>
        <w:szCs w:val="24"/>
      </w:rPr>
    </w:lvl>
    <w:lvl w:ilvl="1" w:tplc="040C0019">
      <w:start w:val="1"/>
      <w:numFmt w:val="lowerLetter"/>
      <w:lvlText w:val="%2."/>
      <w:lvlJc w:val="left"/>
      <w:pPr>
        <w:ind w:left="4680" w:hanging="360"/>
      </w:pPr>
    </w:lvl>
    <w:lvl w:ilvl="2" w:tplc="040C001B">
      <w:start w:val="1"/>
      <w:numFmt w:val="lowerRoman"/>
      <w:lvlText w:val="%3."/>
      <w:lvlJc w:val="right"/>
      <w:pPr>
        <w:ind w:left="5400" w:hanging="180"/>
      </w:pPr>
    </w:lvl>
    <w:lvl w:ilvl="3" w:tplc="040C000F">
      <w:start w:val="1"/>
      <w:numFmt w:val="decimal"/>
      <w:lvlText w:val="%4."/>
      <w:lvlJc w:val="left"/>
      <w:pPr>
        <w:ind w:left="6120" w:hanging="360"/>
      </w:pPr>
    </w:lvl>
    <w:lvl w:ilvl="4" w:tplc="040C0019">
      <w:start w:val="1"/>
      <w:numFmt w:val="lowerLetter"/>
      <w:lvlText w:val="%5."/>
      <w:lvlJc w:val="left"/>
      <w:pPr>
        <w:ind w:left="6840" w:hanging="360"/>
      </w:pPr>
    </w:lvl>
    <w:lvl w:ilvl="5" w:tplc="040C001B">
      <w:start w:val="1"/>
      <w:numFmt w:val="lowerRoman"/>
      <w:lvlText w:val="%6."/>
      <w:lvlJc w:val="right"/>
      <w:pPr>
        <w:ind w:left="7560" w:hanging="180"/>
      </w:pPr>
    </w:lvl>
    <w:lvl w:ilvl="6" w:tplc="040C000F">
      <w:start w:val="1"/>
      <w:numFmt w:val="decimal"/>
      <w:lvlText w:val="%7."/>
      <w:lvlJc w:val="left"/>
      <w:pPr>
        <w:ind w:left="8280" w:hanging="360"/>
      </w:pPr>
    </w:lvl>
    <w:lvl w:ilvl="7" w:tplc="040C0019">
      <w:start w:val="1"/>
      <w:numFmt w:val="lowerLetter"/>
      <w:lvlText w:val="%8."/>
      <w:lvlJc w:val="left"/>
      <w:pPr>
        <w:ind w:left="9000" w:hanging="360"/>
      </w:pPr>
    </w:lvl>
    <w:lvl w:ilvl="8" w:tplc="040C001B">
      <w:start w:val="1"/>
      <w:numFmt w:val="lowerRoman"/>
      <w:lvlText w:val="%9."/>
      <w:lvlJc w:val="right"/>
      <w:pPr>
        <w:ind w:left="9720" w:hanging="180"/>
      </w:pPr>
    </w:lvl>
  </w:abstractNum>
  <w:abstractNum w:abstractNumId="6">
    <w:nsid w:val="063C5B02"/>
    <w:multiLevelType w:val="hybridMultilevel"/>
    <w:tmpl w:val="3388526E"/>
    <w:lvl w:ilvl="0" w:tplc="810C48E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2B2857"/>
    <w:multiLevelType w:val="hybridMultilevel"/>
    <w:tmpl w:val="A3408134"/>
    <w:lvl w:ilvl="0" w:tplc="239A32A0">
      <w:start w:val="1"/>
      <w:numFmt w:val="bullet"/>
      <w:lvlText w:val="-"/>
      <w:lvlJc w:val="left"/>
      <w:pPr>
        <w:tabs>
          <w:tab w:val="num" w:pos="360"/>
        </w:tabs>
        <w:ind w:left="360" w:hanging="360"/>
      </w:pPr>
      <w:rPr>
        <w:rFonts w:ascii="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8">
    <w:nsid w:val="072B2DCB"/>
    <w:multiLevelType w:val="multilevel"/>
    <w:tmpl w:val="E3C6C6EA"/>
    <w:lvl w:ilvl="0">
      <w:start w:val="3"/>
      <w:numFmt w:val="decimal"/>
      <w:lvlText w:val="5.%1.4."/>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079042AA"/>
    <w:multiLevelType w:val="hybridMultilevel"/>
    <w:tmpl w:val="58321062"/>
    <w:lvl w:ilvl="0" w:tplc="9C68C430">
      <w:start w:val="1"/>
      <w:numFmt w:val="decimal"/>
      <w:pStyle w:val="G5sec1b"/>
      <w:lvlText w:val="Graphique  5.1.%1b"/>
      <w:lvlJc w:val="left"/>
      <w:pPr>
        <w:ind w:left="1080" w:hanging="360"/>
      </w:pPr>
      <w:rPr>
        <w:rFonts w:hint="default"/>
        <w:b/>
        <w:bCs/>
        <w:i w:val="0"/>
        <w:iCs w:val="0"/>
        <w:sz w:val="24"/>
        <w:szCs w:val="24"/>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0">
    <w:nsid w:val="082B1BD9"/>
    <w:multiLevelType w:val="multilevel"/>
    <w:tmpl w:val="68002C12"/>
    <w:lvl w:ilvl="0">
      <w:start w:val="3"/>
      <w:numFmt w:val="none"/>
      <w:lvlText w:val="5.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0851350D"/>
    <w:multiLevelType w:val="hybridMultilevel"/>
    <w:tmpl w:val="D4764DC4"/>
    <w:lvl w:ilvl="0" w:tplc="D7C2BED8">
      <w:start w:val="1"/>
      <w:numFmt w:val="decimal"/>
      <w:pStyle w:val="T4sec1b"/>
      <w:lvlText w:val="Tableau  4.1.%1b"/>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nsid w:val="087235AC"/>
    <w:multiLevelType w:val="hybridMultilevel"/>
    <w:tmpl w:val="8EA61156"/>
    <w:lvl w:ilvl="0" w:tplc="FCF4CB4E">
      <w:start w:val="1"/>
      <w:numFmt w:val="lowerLetter"/>
      <w:pStyle w:val="T6sec3c"/>
      <w:lvlText w:val="Tableeau   6.3.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nsid w:val="088E597E"/>
    <w:multiLevelType w:val="hybridMultilevel"/>
    <w:tmpl w:val="DC343E0C"/>
    <w:lvl w:ilvl="0" w:tplc="A84623AC">
      <w:start w:val="1"/>
      <w:numFmt w:val="decimal"/>
      <w:pStyle w:val="G5sec42c"/>
      <w:lvlText w:val="Graphique  5.2.%1c"/>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nsid w:val="0A260904"/>
    <w:multiLevelType w:val="multilevel"/>
    <w:tmpl w:val="711E0D2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isLgl/>
      <w:lvlText w:val="4.2.5"/>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0BA851AA"/>
    <w:multiLevelType w:val="hybridMultilevel"/>
    <w:tmpl w:val="45763BCE"/>
    <w:lvl w:ilvl="0" w:tplc="3C70F98C">
      <w:start w:val="1"/>
      <w:numFmt w:val="decimal"/>
      <w:pStyle w:val="T6sec1g"/>
      <w:lvlText w:val="Tableau 6.%1.7"/>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6">
    <w:nsid w:val="0DA05E77"/>
    <w:multiLevelType w:val="hybridMultilevel"/>
    <w:tmpl w:val="8DA0BC9A"/>
    <w:lvl w:ilvl="0" w:tplc="ED848FEA">
      <w:start w:val="1"/>
      <w:numFmt w:val="lowerLetter"/>
      <w:pStyle w:val="G5sec6"/>
      <w:lvlText w:val="Graphique  5.6.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nsid w:val="0E2548D5"/>
    <w:multiLevelType w:val="multilevel"/>
    <w:tmpl w:val="040C001D"/>
    <w:styleLink w:val="Sty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10663C90"/>
    <w:multiLevelType w:val="multilevel"/>
    <w:tmpl w:val="7250C526"/>
    <w:lvl w:ilvl="0">
      <w:start w:val="1"/>
      <w:numFmt w:val="none"/>
      <w:lvlText w:val="4.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0925D06"/>
    <w:multiLevelType w:val="hybridMultilevel"/>
    <w:tmpl w:val="E95858D4"/>
    <w:lvl w:ilvl="0" w:tplc="05A03C8C">
      <w:start w:val="1"/>
      <w:numFmt w:val="decimal"/>
      <w:pStyle w:val="T6sec1f"/>
      <w:lvlText w:val="Tableau 6.%1.6"/>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nsid w:val="124B7DE6"/>
    <w:multiLevelType w:val="hybridMultilevel"/>
    <w:tmpl w:val="5B9A9066"/>
    <w:lvl w:ilvl="0" w:tplc="7486C4DE">
      <w:start w:val="1"/>
      <w:numFmt w:val="lowerLetter"/>
      <w:pStyle w:val="T6sec1b"/>
      <w:lvlText w:val="Tableau 6.1.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nsid w:val="133C0BC6"/>
    <w:multiLevelType w:val="hybridMultilevel"/>
    <w:tmpl w:val="A8F09E8E"/>
    <w:lvl w:ilvl="0" w:tplc="B4747E7E">
      <w:start w:val="1"/>
      <w:numFmt w:val="lowerLetter"/>
      <w:pStyle w:val="G5sec60"/>
      <w:lvlText w:val="Graphique 5.6'.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nsid w:val="13AD1052"/>
    <w:multiLevelType w:val="multilevel"/>
    <w:tmpl w:val="A24498E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isLgl/>
      <w:lvlText w:val="4.5.2."/>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13BB1E17"/>
    <w:multiLevelType w:val="hybridMultilevel"/>
    <w:tmpl w:val="0B88C6C8"/>
    <w:lvl w:ilvl="0" w:tplc="5E58EBE4">
      <w:start w:val="1"/>
      <w:numFmt w:val="decimal"/>
      <w:pStyle w:val="T4sec2a"/>
      <w:lvlText w:val="Tableau  4.2.%1a"/>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4">
    <w:nsid w:val="14332161"/>
    <w:multiLevelType w:val="hybridMultilevel"/>
    <w:tmpl w:val="845AFE86"/>
    <w:lvl w:ilvl="0" w:tplc="7C1CB28E">
      <w:start w:val="1"/>
      <w:numFmt w:val="lowerLetter"/>
      <w:pStyle w:val="T5sec2a"/>
      <w:lvlText w:val="Tableau   5.2.1%1"/>
      <w:lvlJc w:val="left"/>
      <w:pPr>
        <w:ind w:left="1080" w:hanging="360"/>
      </w:pPr>
      <w:rPr>
        <w:rFonts w:hint="default"/>
        <w:b/>
        <w:bCs/>
        <w:i w:val="0"/>
        <w:iCs w:val="0"/>
        <w:sz w:val="24"/>
        <w:szCs w:val="24"/>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25">
    <w:nsid w:val="14EC4E0E"/>
    <w:multiLevelType w:val="hybridMultilevel"/>
    <w:tmpl w:val="17D83CDA"/>
    <w:lvl w:ilvl="0" w:tplc="0C0C0001">
      <w:start w:val="1"/>
      <w:numFmt w:val="bullet"/>
      <w:lvlText w:val=""/>
      <w:lvlJc w:val="left"/>
      <w:pPr>
        <w:ind w:left="720" w:hanging="360"/>
      </w:pPr>
      <w:rPr>
        <w:rFonts w:ascii="Symbol" w:hAnsi="Symbol" w:cs="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6">
    <w:nsid w:val="15854480"/>
    <w:multiLevelType w:val="multilevel"/>
    <w:tmpl w:val="7CA44354"/>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5.5.%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168D4208"/>
    <w:multiLevelType w:val="multilevel"/>
    <w:tmpl w:val="89108D00"/>
    <w:lvl w:ilvl="0">
      <w:start w:val="3"/>
      <w:numFmt w:val="decimal"/>
      <w:lvlText w:val="4.2.%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17F07AC4"/>
    <w:multiLevelType w:val="hybridMultilevel"/>
    <w:tmpl w:val="D91A3F3C"/>
    <w:lvl w:ilvl="0" w:tplc="730E54BA">
      <w:start w:val="1"/>
      <w:numFmt w:val="lowerLetter"/>
      <w:pStyle w:val="T5sec2c"/>
      <w:lvlText w:val="Tableau   5.2.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nsid w:val="1A8629EA"/>
    <w:multiLevelType w:val="hybridMultilevel"/>
    <w:tmpl w:val="9D2E8CA4"/>
    <w:lvl w:ilvl="0" w:tplc="FAE6D366">
      <w:start w:val="1"/>
      <w:numFmt w:val="decimal"/>
      <w:pStyle w:val="T1sec1"/>
      <w:lvlText w:val="Tableau  1.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nsid w:val="1AD33CD9"/>
    <w:multiLevelType w:val="hybridMultilevel"/>
    <w:tmpl w:val="0EBA7714"/>
    <w:lvl w:ilvl="0" w:tplc="239A32A0">
      <w:start w:val="1"/>
      <w:numFmt w:val="bullet"/>
      <w:lvlText w:val="-"/>
      <w:lvlJc w:val="left"/>
      <w:pPr>
        <w:tabs>
          <w:tab w:val="num" w:pos="720"/>
        </w:tabs>
        <w:ind w:left="720" w:hanging="36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31">
    <w:nsid w:val="1B356451"/>
    <w:multiLevelType w:val="hybridMultilevel"/>
    <w:tmpl w:val="20C6D212"/>
    <w:lvl w:ilvl="0" w:tplc="7788101A">
      <w:start w:val="1"/>
      <w:numFmt w:val="decimal"/>
      <w:pStyle w:val="T6sec4a"/>
      <w:lvlText w:val="Tableau   6.4.%1a"/>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2">
    <w:nsid w:val="1DD6522A"/>
    <w:multiLevelType w:val="multilevel"/>
    <w:tmpl w:val="FC1A3368"/>
    <w:lvl w:ilvl="0">
      <w:start w:val="1"/>
      <w:numFmt w:val="decimal"/>
      <w:lvlText w:val="4.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E5F5A29"/>
    <w:multiLevelType w:val="hybridMultilevel"/>
    <w:tmpl w:val="4512197A"/>
    <w:lvl w:ilvl="0" w:tplc="95AA090A">
      <w:start w:val="1"/>
      <w:numFmt w:val="decimal"/>
      <w:pStyle w:val="T2sec2"/>
      <w:lvlText w:val="Tableau  2.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nsid w:val="1ED16996"/>
    <w:multiLevelType w:val="hybridMultilevel"/>
    <w:tmpl w:val="C48CC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F007BC1"/>
    <w:multiLevelType w:val="hybridMultilevel"/>
    <w:tmpl w:val="D6261076"/>
    <w:lvl w:ilvl="0" w:tplc="4AA2BA30">
      <w:start w:val="1"/>
      <w:numFmt w:val="decimal"/>
      <w:pStyle w:val="T4sec2b"/>
      <w:lvlText w:val="Tableau  4.2.%1b"/>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6">
    <w:nsid w:val="20341BA9"/>
    <w:multiLevelType w:val="multilevel"/>
    <w:tmpl w:val="D3BC82A0"/>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7">
    <w:nsid w:val="204A6F62"/>
    <w:multiLevelType w:val="hybridMultilevel"/>
    <w:tmpl w:val="02AA96AC"/>
    <w:lvl w:ilvl="0" w:tplc="3C38930E">
      <w:start w:val="1"/>
      <w:numFmt w:val="lowerLetter"/>
      <w:pStyle w:val="T6sec3a"/>
      <w:lvlText w:val="Tableeau   6.3.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nsid w:val="20EC4447"/>
    <w:multiLevelType w:val="hybridMultilevel"/>
    <w:tmpl w:val="126E459C"/>
    <w:lvl w:ilvl="0" w:tplc="040C000F">
      <w:start w:val="1"/>
      <w:numFmt w:val="decimal"/>
      <w:lvlText w:val="%1."/>
      <w:lvlJc w:val="left"/>
      <w:pPr>
        <w:ind w:left="-708" w:hanging="360"/>
      </w:pPr>
    </w:lvl>
    <w:lvl w:ilvl="1" w:tplc="040C0019" w:tentative="1">
      <w:start w:val="1"/>
      <w:numFmt w:val="lowerLetter"/>
      <w:lvlText w:val="%2."/>
      <w:lvlJc w:val="left"/>
      <w:pPr>
        <w:ind w:left="12" w:hanging="360"/>
      </w:pPr>
    </w:lvl>
    <w:lvl w:ilvl="2" w:tplc="040C001B" w:tentative="1">
      <w:start w:val="1"/>
      <w:numFmt w:val="lowerRoman"/>
      <w:lvlText w:val="%3."/>
      <w:lvlJc w:val="right"/>
      <w:pPr>
        <w:ind w:left="732" w:hanging="180"/>
      </w:pPr>
    </w:lvl>
    <w:lvl w:ilvl="3" w:tplc="040C000F" w:tentative="1">
      <w:start w:val="1"/>
      <w:numFmt w:val="decimal"/>
      <w:lvlText w:val="%4."/>
      <w:lvlJc w:val="left"/>
      <w:pPr>
        <w:ind w:left="1452" w:hanging="360"/>
      </w:pPr>
    </w:lvl>
    <w:lvl w:ilvl="4" w:tplc="040C0019" w:tentative="1">
      <w:start w:val="1"/>
      <w:numFmt w:val="lowerLetter"/>
      <w:lvlText w:val="%5."/>
      <w:lvlJc w:val="left"/>
      <w:pPr>
        <w:ind w:left="2172" w:hanging="360"/>
      </w:pPr>
    </w:lvl>
    <w:lvl w:ilvl="5" w:tplc="040C001B" w:tentative="1">
      <w:start w:val="1"/>
      <w:numFmt w:val="lowerRoman"/>
      <w:lvlText w:val="%6."/>
      <w:lvlJc w:val="right"/>
      <w:pPr>
        <w:ind w:left="2892" w:hanging="180"/>
      </w:pPr>
    </w:lvl>
    <w:lvl w:ilvl="6" w:tplc="040C000F" w:tentative="1">
      <w:start w:val="1"/>
      <w:numFmt w:val="decimal"/>
      <w:lvlText w:val="%7."/>
      <w:lvlJc w:val="left"/>
      <w:pPr>
        <w:ind w:left="3612" w:hanging="360"/>
      </w:pPr>
    </w:lvl>
    <w:lvl w:ilvl="7" w:tplc="040C0019" w:tentative="1">
      <w:start w:val="1"/>
      <w:numFmt w:val="lowerLetter"/>
      <w:lvlText w:val="%8."/>
      <w:lvlJc w:val="left"/>
      <w:pPr>
        <w:ind w:left="4332" w:hanging="360"/>
      </w:pPr>
    </w:lvl>
    <w:lvl w:ilvl="8" w:tplc="040C001B" w:tentative="1">
      <w:start w:val="1"/>
      <w:numFmt w:val="lowerRoman"/>
      <w:lvlText w:val="%9."/>
      <w:lvlJc w:val="right"/>
      <w:pPr>
        <w:ind w:left="5052" w:hanging="180"/>
      </w:pPr>
    </w:lvl>
  </w:abstractNum>
  <w:abstractNum w:abstractNumId="39">
    <w:nsid w:val="21B67A5A"/>
    <w:multiLevelType w:val="multilevel"/>
    <w:tmpl w:val="9A30A8DA"/>
    <w:styleLink w:val="Style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22041F04"/>
    <w:multiLevelType w:val="hybridMultilevel"/>
    <w:tmpl w:val="4C16569E"/>
    <w:lvl w:ilvl="0" w:tplc="44A4CA18">
      <w:start w:val="1"/>
      <w:numFmt w:val="bullet"/>
      <w:lvlText w:val=""/>
      <w:lvlJc w:val="left"/>
      <w:pPr>
        <w:tabs>
          <w:tab w:val="num" w:pos="720"/>
        </w:tabs>
        <w:ind w:left="720" w:hanging="360"/>
      </w:pPr>
      <w:rPr>
        <w:rFonts w:ascii="Wingdings" w:hAnsi="Wingdings" w:hint="default"/>
      </w:rPr>
    </w:lvl>
    <w:lvl w:ilvl="1" w:tplc="B672C17A" w:tentative="1">
      <w:start w:val="1"/>
      <w:numFmt w:val="bullet"/>
      <w:lvlText w:val=""/>
      <w:lvlJc w:val="left"/>
      <w:pPr>
        <w:tabs>
          <w:tab w:val="num" w:pos="1440"/>
        </w:tabs>
        <w:ind w:left="1440" w:hanging="360"/>
      </w:pPr>
      <w:rPr>
        <w:rFonts w:ascii="Wingdings" w:hAnsi="Wingdings" w:hint="default"/>
      </w:rPr>
    </w:lvl>
    <w:lvl w:ilvl="2" w:tplc="01DA6A96" w:tentative="1">
      <w:start w:val="1"/>
      <w:numFmt w:val="bullet"/>
      <w:lvlText w:val=""/>
      <w:lvlJc w:val="left"/>
      <w:pPr>
        <w:tabs>
          <w:tab w:val="num" w:pos="2160"/>
        </w:tabs>
        <w:ind w:left="2160" w:hanging="360"/>
      </w:pPr>
      <w:rPr>
        <w:rFonts w:ascii="Wingdings" w:hAnsi="Wingdings" w:hint="default"/>
      </w:rPr>
    </w:lvl>
    <w:lvl w:ilvl="3" w:tplc="7CC40342" w:tentative="1">
      <w:start w:val="1"/>
      <w:numFmt w:val="bullet"/>
      <w:lvlText w:val=""/>
      <w:lvlJc w:val="left"/>
      <w:pPr>
        <w:tabs>
          <w:tab w:val="num" w:pos="2880"/>
        </w:tabs>
        <w:ind w:left="2880" w:hanging="360"/>
      </w:pPr>
      <w:rPr>
        <w:rFonts w:ascii="Wingdings" w:hAnsi="Wingdings" w:hint="default"/>
      </w:rPr>
    </w:lvl>
    <w:lvl w:ilvl="4" w:tplc="55E00D9E" w:tentative="1">
      <w:start w:val="1"/>
      <w:numFmt w:val="bullet"/>
      <w:lvlText w:val=""/>
      <w:lvlJc w:val="left"/>
      <w:pPr>
        <w:tabs>
          <w:tab w:val="num" w:pos="3600"/>
        </w:tabs>
        <w:ind w:left="3600" w:hanging="360"/>
      </w:pPr>
      <w:rPr>
        <w:rFonts w:ascii="Wingdings" w:hAnsi="Wingdings" w:hint="default"/>
      </w:rPr>
    </w:lvl>
    <w:lvl w:ilvl="5" w:tplc="D7EC287A" w:tentative="1">
      <w:start w:val="1"/>
      <w:numFmt w:val="bullet"/>
      <w:lvlText w:val=""/>
      <w:lvlJc w:val="left"/>
      <w:pPr>
        <w:tabs>
          <w:tab w:val="num" w:pos="4320"/>
        </w:tabs>
        <w:ind w:left="4320" w:hanging="360"/>
      </w:pPr>
      <w:rPr>
        <w:rFonts w:ascii="Wingdings" w:hAnsi="Wingdings" w:hint="default"/>
      </w:rPr>
    </w:lvl>
    <w:lvl w:ilvl="6" w:tplc="4AF89964" w:tentative="1">
      <w:start w:val="1"/>
      <w:numFmt w:val="bullet"/>
      <w:lvlText w:val=""/>
      <w:lvlJc w:val="left"/>
      <w:pPr>
        <w:tabs>
          <w:tab w:val="num" w:pos="5040"/>
        </w:tabs>
        <w:ind w:left="5040" w:hanging="360"/>
      </w:pPr>
      <w:rPr>
        <w:rFonts w:ascii="Wingdings" w:hAnsi="Wingdings" w:hint="default"/>
      </w:rPr>
    </w:lvl>
    <w:lvl w:ilvl="7" w:tplc="28BC2144" w:tentative="1">
      <w:start w:val="1"/>
      <w:numFmt w:val="bullet"/>
      <w:lvlText w:val=""/>
      <w:lvlJc w:val="left"/>
      <w:pPr>
        <w:tabs>
          <w:tab w:val="num" w:pos="5760"/>
        </w:tabs>
        <w:ind w:left="5760" w:hanging="360"/>
      </w:pPr>
      <w:rPr>
        <w:rFonts w:ascii="Wingdings" w:hAnsi="Wingdings" w:hint="default"/>
      </w:rPr>
    </w:lvl>
    <w:lvl w:ilvl="8" w:tplc="7F2E9A66" w:tentative="1">
      <w:start w:val="1"/>
      <w:numFmt w:val="bullet"/>
      <w:lvlText w:val=""/>
      <w:lvlJc w:val="left"/>
      <w:pPr>
        <w:tabs>
          <w:tab w:val="num" w:pos="6480"/>
        </w:tabs>
        <w:ind w:left="6480" w:hanging="360"/>
      </w:pPr>
      <w:rPr>
        <w:rFonts w:ascii="Wingdings" w:hAnsi="Wingdings" w:hint="default"/>
      </w:rPr>
    </w:lvl>
  </w:abstractNum>
  <w:abstractNum w:abstractNumId="41">
    <w:nsid w:val="23052404"/>
    <w:multiLevelType w:val="hybridMultilevel"/>
    <w:tmpl w:val="F3360262"/>
    <w:lvl w:ilvl="0" w:tplc="B78CF07C">
      <w:start w:val="1"/>
      <w:numFmt w:val="decimal"/>
      <w:pStyle w:val="T3sec3"/>
      <w:lvlText w:val="Tableau  3.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2">
    <w:nsid w:val="235106C6"/>
    <w:multiLevelType w:val="hybridMultilevel"/>
    <w:tmpl w:val="EF424FC2"/>
    <w:lvl w:ilvl="0" w:tplc="15E2E678">
      <w:start w:val="1"/>
      <w:numFmt w:val="lowerLetter"/>
      <w:pStyle w:val="G1sec3"/>
      <w:lvlText w:val="Graphique  1.3.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3">
    <w:nsid w:val="238C784D"/>
    <w:multiLevelType w:val="hybridMultilevel"/>
    <w:tmpl w:val="C55CE20A"/>
    <w:lvl w:ilvl="0" w:tplc="BF524AB4">
      <w:start w:val="1"/>
      <w:numFmt w:val="lowerLetter"/>
      <w:pStyle w:val="T5sec1d"/>
      <w:lvlText w:val="Tableau  5.1.4%1"/>
      <w:lvlJc w:val="left"/>
      <w:pPr>
        <w:ind w:left="1080" w:hanging="360"/>
      </w:pPr>
      <w:rPr>
        <w:rFonts w:hint="default"/>
        <w:b/>
        <w:bCs/>
        <w:i w:val="0"/>
        <w:iCs w:val="0"/>
        <w:sz w:val="24"/>
        <w:szCs w:val="24"/>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44">
    <w:nsid w:val="243534BB"/>
    <w:multiLevelType w:val="hybridMultilevel"/>
    <w:tmpl w:val="621EB224"/>
    <w:lvl w:ilvl="0" w:tplc="9EBC25D0">
      <w:start w:val="1"/>
      <w:numFmt w:val="lowerLetter"/>
      <w:pStyle w:val="A2b"/>
      <w:lvlText w:val="Annexe 6.3.5%1"/>
      <w:lvlJc w:val="left"/>
      <w:pPr>
        <w:ind w:left="1440" w:hanging="360"/>
      </w:pPr>
      <w:rPr>
        <w:rFonts w:hint="default"/>
        <w:b/>
        <w:bCs/>
        <w:i/>
        <w:iCs/>
        <w:sz w:val="24"/>
        <w:szCs w:val="24"/>
      </w:r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45">
    <w:nsid w:val="247A08A2"/>
    <w:multiLevelType w:val="hybridMultilevel"/>
    <w:tmpl w:val="CCBAB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4C302DE"/>
    <w:multiLevelType w:val="hybridMultilevel"/>
    <w:tmpl w:val="3E4EAAD0"/>
    <w:lvl w:ilvl="0" w:tplc="3FEE1364">
      <w:start w:val="1"/>
      <w:numFmt w:val="lowerLetter"/>
      <w:pStyle w:val="T6sec3m"/>
      <w:lvlText w:val="Tableau   6.3.1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nsid w:val="261F3C41"/>
    <w:multiLevelType w:val="hybridMultilevel"/>
    <w:tmpl w:val="6D90CC42"/>
    <w:lvl w:ilvl="0" w:tplc="CE8E9E1E">
      <w:start w:val="1"/>
      <w:numFmt w:val="decimal"/>
      <w:pStyle w:val="T2sec1"/>
      <w:lvlText w:val="Tableau  2.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8">
    <w:nsid w:val="26FB2782"/>
    <w:multiLevelType w:val="hybridMultilevel"/>
    <w:tmpl w:val="AC8AAE1E"/>
    <w:lvl w:ilvl="0" w:tplc="29BC8F20">
      <w:start w:val="1"/>
      <w:numFmt w:val="decimal"/>
      <w:pStyle w:val="T2sec3"/>
      <w:lvlText w:val="Tableau  2.3.%1"/>
      <w:lvlJc w:val="left"/>
      <w:pPr>
        <w:ind w:left="3337"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nsid w:val="28323839"/>
    <w:multiLevelType w:val="multilevel"/>
    <w:tmpl w:val="668A35F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5.5.%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2C1B33B6"/>
    <w:multiLevelType w:val="hybridMultilevel"/>
    <w:tmpl w:val="7D9AF292"/>
    <w:lvl w:ilvl="0" w:tplc="0714CA62">
      <w:start w:val="1"/>
      <w:numFmt w:val="lowerLetter"/>
      <w:pStyle w:val="T5sec2d"/>
      <w:lvlText w:val="Tableau  5.2.4%1"/>
      <w:lvlJc w:val="left"/>
      <w:pPr>
        <w:ind w:left="720" w:hanging="360"/>
      </w:pPr>
      <w:rPr>
        <w:rFonts w:hint="default"/>
        <w:b/>
        <w:bCs/>
        <w:i w:val="0"/>
        <w:iCs w:val="0"/>
        <w:sz w:val="24"/>
        <w:szCs w:val="24"/>
      </w:rPr>
    </w:lvl>
    <w:lvl w:ilvl="1" w:tplc="B62EADEC">
      <w:start w:val="1"/>
      <w:numFmt w:val="lowerLetter"/>
      <w:lvlText w:val="%2."/>
      <w:lvlJc w:val="left"/>
      <w:pPr>
        <w:ind w:left="1440" w:hanging="360"/>
      </w:pPr>
    </w:lvl>
    <w:lvl w:ilvl="2" w:tplc="B412A9E4">
      <w:start w:val="1"/>
      <w:numFmt w:val="lowerRoman"/>
      <w:lvlText w:val="%3."/>
      <w:lvlJc w:val="right"/>
      <w:pPr>
        <w:ind w:left="2160" w:hanging="180"/>
      </w:pPr>
    </w:lvl>
    <w:lvl w:ilvl="3" w:tplc="0A32674C">
      <w:start w:val="1"/>
      <w:numFmt w:val="decimal"/>
      <w:lvlText w:val="%4."/>
      <w:lvlJc w:val="left"/>
      <w:pPr>
        <w:ind w:left="2880" w:hanging="360"/>
      </w:pPr>
    </w:lvl>
    <w:lvl w:ilvl="4" w:tplc="6344B92A">
      <w:start w:val="1"/>
      <w:numFmt w:val="lowerLetter"/>
      <w:lvlText w:val="%5."/>
      <w:lvlJc w:val="left"/>
      <w:pPr>
        <w:ind w:left="3600" w:hanging="360"/>
      </w:pPr>
    </w:lvl>
    <w:lvl w:ilvl="5" w:tplc="1CE024C4">
      <w:start w:val="1"/>
      <w:numFmt w:val="lowerRoman"/>
      <w:lvlText w:val="%6."/>
      <w:lvlJc w:val="right"/>
      <w:pPr>
        <w:ind w:left="4320" w:hanging="180"/>
      </w:pPr>
    </w:lvl>
    <w:lvl w:ilvl="6" w:tplc="BBFC2332">
      <w:start w:val="1"/>
      <w:numFmt w:val="decimal"/>
      <w:lvlText w:val="%7."/>
      <w:lvlJc w:val="left"/>
      <w:pPr>
        <w:ind w:left="5040" w:hanging="360"/>
      </w:pPr>
    </w:lvl>
    <w:lvl w:ilvl="7" w:tplc="8D184A68">
      <w:start w:val="1"/>
      <w:numFmt w:val="lowerLetter"/>
      <w:lvlText w:val="%8."/>
      <w:lvlJc w:val="left"/>
      <w:pPr>
        <w:ind w:left="5760" w:hanging="360"/>
      </w:pPr>
    </w:lvl>
    <w:lvl w:ilvl="8" w:tplc="C54C6850">
      <w:start w:val="1"/>
      <w:numFmt w:val="lowerRoman"/>
      <w:lvlText w:val="%9."/>
      <w:lvlJc w:val="right"/>
      <w:pPr>
        <w:ind w:left="6480" w:hanging="180"/>
      </w:pPr>
    </w:lvl>
  </w:abstractNum>
  <w:abstractNum w:abstractNumId="51">
    <w:nsid w:val="2DCB0AD9"/>
    <w:multiLevelType w:val="hybridMultilevel"/>
    <w:tmpl w:val="C6CABDC0"/>
    <w:lvl w:ilvl="0" w:tplc="7FE4DA0A">
      <w:start w:val="1"/>
      <w:numFmt w:val="decimal"/>
      <w:pStyle w:val="G5sec1"/>
      <w:lvlText w:val="Graphique  5.1.%1a"/>
      <w:lvlJc w:val="left"/>
      <w:pPr>
        <w:ind w:left="720" w:hanging="360"/>
      </w:pPr>
      <w:rPr>
        <w:rFonts w:hint="default"/>
        <w:b/>
        <w:bCs/>
        <w:i w:val="0"/>
        <w:iCs w:val="0"/>
        <w:sz w:val="24"/>
        <w:szCs w:val="24"/>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nsid w:val="2F116784"/>
    <w:multiLevelType w:val="hybridMultilevel"/>
    <w:tmpl w:val="1752031A"/>
    <w:lvl w:ilvl="0" w:tplc="F880E7A8">
      <w:start w:val="1"/>
      <w:numFmt w:val="lowerLetter"/>
      <w:pStyle w:val="T5sec2b"/>
      <w:lvlText w:val="Tableau  5.2'.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nsid w:val="31107F63"/>
    <w:multiLevelType w:val="multilevel"/>
    <w:tmpl w:val="212841BA"/>
    <w:lvl w:ilvl="0">
      <w:start w:val="3"/>
      <w:numFmt w:val="decimal"/>
      <w:lvlText w:val="%1."/>
      <w:lvlJc w:val="left"/>
      <w:pPr>
        <w:ind w:left="720" w:hanging="360"/>
      </w:pPr>
      <w:rPr>
        <w:rFonts w:hint="default"/>
      </w:rPr>
    </w:lvl>
    <w:lvl w:ilvl="1">
      <w:start w:val="1"/>
      <w:numFmt w:val="decimal"/>
      <w:isLgl/>
      <w:lvlText w:val="4.%2."/>
      <w:lvlJc w:val="left"/>
      <w:pPr>
        <w:ind w:left="1080" w:hanging="720"/>
      </w:pPr>
      <w:rPr>
        <w:rFonts w:hint="default"/>
        <w:b/>
      </w:rPr>
    </w:lvl>
    <w:lvl w:ilvl="2">
      <w:start w:val="1"/>
      <w:numFmt w:val="decimal"/>
      <w:isLgl/>
      <w:lvlText w:val="4.%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314841B0"/>
    <w:multiLevelType w:val="hybridMultilevel"/>
    <w:tmpl w:val="5E2C5076"/>
    <w:lvl w:ilvl="0" w:tplc="75B29116">
      <w:start w:val="1"/>
      <w:numFmt w:val="lowerLetter"/>
      <w:pStyle w:val="T6sec3d"/>
      <w:lvlText w:val="Tableeau   6.3.4%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5">
    <w:nsid w:val="316A5A1C"/>
    <w:multiLevelType w:val="hybridMultilevel"/>
    <w:tmpl w:val="FEF00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1851D6D"/>
    <w:multiLevelType w:val="hybridMultilevel"/>
    <w:tmpl w:val="199CC5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331319E6"/>
    <w:multiLevelType w:val="hybridMultilevel"/>
    <w:tmpl w:val="7360A9F4"/>
    <w:lvl w:ilvl="0" w:tplc="89C014A6">
      <w:start w:val="1"/>
      <w:numFmt w:val="decimal"/>
      <w:pStyle w:val="G5sec1c"/>
      <w:lvlText w:val="Graphique  5.1.%1c"/>
      <w:lvlJc w:val="left"/>
      <w:pPr>
        <w:ind w:left="1080" w:hanging="360"/>
      </w:pPr>
      <w:rPr>
        <w:rFonts w:hint="default"/>
        <w:b/>
        <w:bCs/>
        <w:i w:val="0"/>
        <w:iCs w:val="0"/>
        <w:sz w:val="24"/>
        <w:szCs w:val="24"/>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58">
    <w:nsid w:val="334930AE"/>
    <w:multiLevelType w:val="multilevel"/>
    <w:tmpl w:val="D13C86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3.%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34F238E"/>
    <w:multiLevelType w:val="hybridMultilevel"/>
    <w:tmpl w:val="7CB4796C"/>
    <w:lvl w:ilvl="0" w:tplc="8474F6D8">
      <w:start w:val="1"/>
      <w:numFmt w:val="lowerLetter"/>
      <w:pStyle w:val="T6sec1a"/>
      <w:lvlText w:val="Tableau 6.1.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nsid w:val="342B03BF"/>
    <w:multiLevelType w:val="multilevel"/>
    <w:tmpl w:val="C6BC9EB8"/>
    <w:lvl w:ilvl="0">
      <w:start w:val="3"/>
      <w:numFmt w:val="decimal"/>
      <w:lvlText w:val="%1."/>
      <w:lvlJc w:val="left"/>
      <w:pPr>
        <w:ind w:left="360" w:hanging="360"/>
      </w:pPr>
      <w:rPr>
        <w:rFonts w:ascii="Times New Roman" w:hAnsi="Times New Roman" w:cs="Times New Roman" w:hint="default"/>
        <w:sz w:val="24"/>
      </w:rPr>
    </w:lvl>
    <w:lvl w:ilvl="1">
      <w:start w:val="3"/>
      <w:numFmt w:val="decimal"/>
      <w:lvlText w:val="%1.%2."/>
      <w:lvlJc w:val="left"/>
      <w:pPr>
        <w:ind w:left="720" w:hanging="720"/>
      </w:pPr>
      <w:rPr>
        <w:rFonts w:ascii="Times New Roman" w:hAnsi="Times New Roman" w:cs="Times New Roman" w:hint="default"/>
        <w:sz w:val="24"/>
      </w:rPr>
    </w:lvl>
    <w:lvl w:ilvl="2">
      <w:start w:val="1"/>
      <w:numFmt w:val="decimal"/>
      <w:lvlText w:val="%1.%2.%3."/>
      <w:lvlJc w:val="left"/>
      <w:pPr>
        <w:ind w:left="1080" w:hanging="1080"/>
      </w:pPr>
      <w:rPr>
        <w:rFonts w:ascii="Times New Roman" w:hAnsi="Times New Roman" w:cs="Times New Roman" w:hint="default"/>
        <w:sz w:val="24"/>
      </w:rPr>
    </w:lvl>
    <w:lvl w:ilvl="3">
      <w:start w:val="1"/>
      <w:numFmt w:val="decimal"/>
      <w:lvlText w:val="%1.%2.%3.%4."/>
      <w:lvlJc w:val="left"/>
      <w:pPr>
        <w:ind w:left="1080" w:hanging="1080"/>
      </w:pPr>
      <w:rPr>
        <w:rFonts w:ascii="Times New Roman" w:hAnsi="Times New Roman" w:cs="Times New Roman" w:hint="default"/>
        <w:sz w:val="24"/>
      </w:rPr>
    </w:lvl>
    <w:lvl w:ilvl="4">
      <w:start w:val="1"/>
      <w:numFmt w:val="decimal"/>
      <w:lvlText w:val="%1.%2.%3.%4.%5."/>
      <w:lvlJc w:val="left"/>
      <w:pPr>
        <w:ind w:left="1440" w:hanging="1440"/>
      </w:pPr>
      <w:rPr>
        <w:rFonts w:ascii="Times New Roman" w:hAnsi="Times New Roman" w:cs="Times New Roman" w:hint="default"/>
        <w:sz w:val="24"/>
      </w:rPr>
    </w:lvl>
    <w:lvl w:ilvl="5">
      <w:start w:val="1"/>
      <w:numFmt w:val="decimal"/>
      <w:lvlText w:val="%1.%2.%3.%4.%5.%6."/>
      <w:lvlJc w:val="left"/>
      <w:pPr>
        <w:ind w:left="1800" w:hanging="1800"/>
      </w:pPr>
      <w:rPr>
        <w:rFonts w:ascii="Times New Roman" w:hAnsi="Times New Roman" w:cs="Times New Roman" w:hint="default"/>
        <w:sz w:val="24"/>
      </w:rPr>
    </w:lvl>
    <w:lvl w:ilvl="6">
      <w:start w:val="1"/>
      <w:numFmt w:val="decimal"/>
      <w:lvlText w:val="%1.%2.%3.%4.%5.%6.%7."/>
      <w:lvlJc w:val="left"/>
      <w:pPr>
        <w:ind w:left="1800" w:hanging="1800"/>
      </w:pPr>
      <w:rPr>
        <w:rFonts w:ascii="Times New Roman" w:hAnsi="Times New Roman" w:cs="Times New Roman" w:hint="default"/>
        <w:sz w:val="24"/>
      </w:rPr>
    </w:lvl>
    <w:lvl w:ilvl="7">
      <w:start w:val="1"/>
      <w:numFmt w:val="decimal"/>
      <w:lvlText w:val="%1.%2.%3.%4.%5.%6.%7.%8."/>
      <w:lvlJc w:val="left"/>
      <w:pPr>
        <w:ind w:left="2160" w:hanging="2160"/>
      </w:pPr>
      <w:rPr>
        <w:rFonts w:ascii="Times New Roman" w:hAnsi="Times New Roman" w:cs="Times New Roman" w:hint="default"/>
        <w:sz w:val="24"/>
      </w:rPr>
    </w:lvl>
    <w:lvl w:ilvl="8">
      <w:start w:val="1"/>
      <w:numFmt w:val="decimal"/>
      <w:lvlText w:val="%1.%2.%3.%4.%5.%6.%7.%8.%9."/>
      <w:lvlJc w:val="left"/>
      <w:pPr>
        <w:ind w:left="2520" w:hanging="2520"/>
      </w:pPr>
      <w:rPr>
        <w:rFonts w:ascii="Times New Roman" w:hAnsi="Times New Roman" w:cs="Times New Roman" w:hint="default"/>
        <w:sz w:val="24"/>
      </w:rPr>
    </w:lvl>
  </w:abstractNum>
  <w:abstractNum w:abstractNumId="61">
    <w:nsid w:val="346A723E"/>
    <w:multiLevelType w:val="multilevel"/>
    <w:tmpl w:val="7FE04B08"/>
    <w:lvl w:ilvl="0">
      <w:start w:val="3"/>
      <w:numFmt w:val="decimal"/>
      <w:lvlText w:val="%1."/>
      <w:lvlJc w:val="left"/>
      <w:pPr>
        <w:ind w:left="720" w:hanging="360"/>
      </w:pPr>
      <w:rPr>
        <w:rFonts w:hint="default"/>
      </w:rPr>
    </w:lvl>
    <w:lvl w:ilvl="1">
      <w:start w:val="1"/>
      <w:numFmt w:val="none"/>
      <w:isLgl/>
      <w:lvlText w:val="5.5."/>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36023438"/>
    <w:multiLevelType w:val="multilevel"/>
    <w:tmpl w:val="0EA08A62"/>
    <w:lvl w:ilvl="0">
      <w:start w:val="4"/>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67A2FC0"/>
    <w:multiLevelType w:val="hybridMultilevel"/>
    <w:tmpl w:val="4B7A0A0A"/>
    <w:lvl w:ilvl="0" w:tplc="D1BA629C">
      <w:start w:val="1"/>
      <w:numFmt w:val="decimal"/>
      <w:pStyle w:val="G2sec1"/>
      <w:lvlText w:val="Graphique  2.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4">
    <w:nsid w:val="36B34276"/>
    <w:multiLevelType w:val="multilevel"/>
    <w:tmpl w:val="1598CA16"/>
    <w:lvl w:ilvl="0">
      <w:start w:val="3"/>
      <w:numFmt w:val="decimal"/>
      <w:lvlText w:val="%1.5."/>
      <w:lvlJc w:val="left"/>
      <w:pPr>
        <w:ind w:left="720" w:hanging="360"/>
      </w:pPr>
      <w:rPr>
        <w:rFonts w:hint="default"/>
      </w:rPr>
    </w:lvl>
    <w:lvl w:ilvl="1">
      <w:start w:val="1"/>
      <w:numFmt w:val="none"/>
      <w:isLgl/>
      <w:lvlText w:val="4.4."/>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37A74825"/>
    <w:multiLevelType w:val="multilevel"/>
    <w:tmpl w:val="6E8697C2"/>
    <w:lvl w:ilvl="0">
      <w:start w:val="3"/>
      <w:numFmt w:val="none"/>
      <w:lvlText w:val="5.3.2."/>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39CE427B"/>
    <w:multiLevelType w:val="hybridMultilevel"/>
    <w:tmpl w:val="67E086FC"/>
    <w:lvl w:ilvl="0" w:tplc="E130B0F0">
      <w:start w:val="1"/>
      <w:numFmt w:val="decimal"/>
      <w:pStyle w:val="T3sec1"/>
      <w:lvlText w:val="Tableau  3.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7">
    <w:nsid w:val="3B2D6455"/>
    <w:multiLevelType w:val="hybridMultilevel"/>
    <w:tmpl w:val="BFB4F6EE"/>
    <w:lvl w:ilvl="0" w:tplc="D38E785A">
      <w:start w:val="1"/>
      <w:numFmt w:val="lowerLetter"/>
      <w:pStyle w:val="A2e"/>
      <w:lvlText w:val="Annexe 6.3.13%1"/>
      <w:lvlJc w:val="left"/>
      <w:pPr>
        <w:ind w:left="3240" w:hanging="360"/>
      </w:pPr>
      <w:rPr>
        <w:rFonts w:hint="default"/>
        <w:b/>
        <w:bCs/>
        <w:i/>
        <w:iCs/>
        <w:sz w:val="24"/>
        <w:szCs w:val="24"/>
      </w:rPr>
    </w:lvl>
    <w:lvl w:ilvl="1" w:tplc="040C0019">
      <w:start w:val="1"/>
      <w:numFmt w:val="lowerLetter"/>
      <w:lvlText w:val="%2."/>
      <w:lvlJc w:val="left"/>
      <w:pPr>
        <w:ind w:left="3960" w:hanging="360"/>
      </w:pPr>
    </w:lvl>
    <w:lvl w:ilvl="2" w:tplc="040C001B">
      <w:start w:val="1"/>
      <w:numFmt w:val="lowerRoman"/>
      <w:lvlText w:val="%3."/>
      <w:lvlJc w:val="right"/>
      <w:pPr>
        <w:ind w:left="4680" w:hanging="180"/>
      </w:pPr>
    </w:lvl>
    <w:lvl w:ilvl="3" w:tplc="040C000F">
      <w:start w:val="1"/>
      <w:numFmt w:val="decimal"/>
      <w:lvlText w:val="%4."/>
      <w:lvlJc w:val="left"/>
      <w:pPr>
        <w:ind w:left="5400" w:hanging="360"/>
      </w:pPr>
    </w:lvl>
    <w:lvl w:ilvl="4" w:tplc="040C0019">
      <w:start w:val="1"/>
      <w:numFmt w:val="lowerLetter"/>
      <w:lvlText w:val="%5."/>
      <w:lvlJc w:val="left"/>
      <w:pPr>
        <w:ind w:left="6120" w:hanging="360"/>
      </w:pPr>
    </w:lvl>
    <w:lvl w:ilvl="5" w:tplc="040C001B">
      <w:start w:val="1"/>
      <w:numFmt w:val="lowerRoman"/>
      <w:lvlText w:val="%6."/>
      <w:lvlJc w:val="right"/>
      <w:pPr>
        <w:ind w:left="6840" w:hanging="180"/>
      </w:pPr>
    </w:lvl>
    <w:lvl w:ilvl="6" w:tplc="040C000F">
      <w:start w:val="1"/>
      <w:numFmt w:val="decimal"/>
      <w:lvlText w:val="%7."/>
      <w:lvlJc w:val="left"/>
      <w:pPr>
        <w:ind w:left="7560" w:hanging="360"/>
      </w:pPr>
    </w:lvl>
    <w:lvl w:ilvl="7" w:tplc="040C0019">
      <w:start w:val="1"/>
      <w:numFmt w:val="lowerLetter"/>
      <w:lvlText w:val="%8."/>
      <w:lvlJc w:val="left"/>
      <w:pPr>
        <w:ind w:left="8280" w:hanging="360"/>
      </w:pPr>
    </w:lvl>
    <w:lvl w:ilvl="8" w:tplc="040C001B">
      <w:start w:val="1"/>
      <w:numFmt w:val="lowerRoman"/>
      <w:lvlText w:val="%9."/>
      <w:lvlJc w:val="right"/>
      <w:pPr>
        <w:ind w:left="9000" w:hanging="180"/>
      </w:pPr>
    </w:lvl>
  </w:abstractNum>
  <w:abstractNum w:abstractNumId="68">
    <w:nsid w:val="3C537FB4"/>
    <w:multiLevelType w:val="multilevel"/>
    <w:tmpl w:val="96B2C5D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none"/>
      <w:isLgl/>
      <w:lvlText w:val="5.5.2."/>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3D117770"/>
    <w:multiLevelType w:val="multilevel"/>
    <w:tmpl w:val="F87E97E4"/>
    <w:lvl w:ilvl="0">
      <w:start w:val="1"/>
      <w:numFmt w:val="decimal"/>
      <w:lvlText w:val="%1."/>
      <w:lvlJc w:val="left"/>
      <w:pPr>
        <w:ind w:left="720" w:hanging="360"/>
      </w:pPr>
    </w:lvl>
    <w:lvl w:ilvl="1">
      <w:start w:val="30"/>
      <w:numFmt w:val="decimal"/>
      <w:isLgl/>
      <w:lvlText w:val="%1.%2"/>
      <w:lvlJc w:val="left"/>
      <w:pPr>
        <w:ind w:left="1554" w:hanging="42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70">
    <w:nsid w:val="3D41182F"/>
    <w:multiLevelType w:val="hybridMultilevel"/>
    <w:tmpl w:val="02E42742"/>
    <w:lvl w:ilvl="0" w:tplc="7E6C7F7E">
      <w:start w:val="1"/>
      <w:numFmt w:val="lowerLetter"/>
      <w:pStyle w:val="T6sec3f"/>
      <w:lvlText w:val="Tableeau   6.3.6%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1">
    <w:nsid w:val="3DA535C8"/>
    <w:multiLevelType w:val="multilevel"/>
    <w:tmpl w:val="13889FEC"/>
    <w:lvl w:ilvl="0">
      <w:start w:val="4"/>
      <w:numFmt w:val="decimal"/>
      <w:lvlText w:val="%1."/>
      <w:lvlJc w:val="left"/>
      <w:pPr>
        <w:ind w:left="360" w:hanging="360"/>
      </w:pPr>
      <w:rPr>
        <w:rFonts w:hint="default"/>
      </w:rPr>
    </w:lvl>
    <w:lvl w:ilvl="1">
      <w:start w:val="5"/>
      <w:numFmt w:val="decimal"/>
      <w:lvlText w:val="%1.%2."/>
      <w:lvlJc w:val="left"/>
      <w:pPr>
        <w:ind w:left="1773" w:hanging="360"/>
      </w:pPr>
      <w:rPr>
        <w:rFonts w:hint="default"/>
      </w:rPr>
    </w:lvl>
    <w:lvl w:ilvl="2">
      <w:start w:val="1"/>
      <w:numFmt w:val="decimal"/>
      <w:lvlText w:val="%1.%2.%3."/>
      <w:lvlJc w:val="left"/>
      <w:pPr>
        <w:ind w:left="3546" w:hanging="720"/>
      </w:pPr>
      <w:rPr>
        <w:rFonts w:hint="default"/>
      </w:rPr>
    </w:lvl>
    <w:lvl w:ilvl="3">
      <w:start w:val="1"/>
      <w:numFmt w:val="decimal"/>
      <w:lvlText w:val="%1.%2.%3.%4."/>
      <w:lvlJc w:val="left"/>
      <w:pPr>
        <w:ind w:left="4959" w:hanging="720"/>
      </w:pPr>
      <w:rPr>
        <w:rFonts w:hint="default"/>
      </w:rPr>
    </w:lvl>
    <w:lvl w:ilvl="4">
      <w:start w:val="1"/>
      <w:numFmt w:val="decimal"/>
      <w:lvlText w:val="%1.%2.%3.%4.%5."/>
      <w:lvlJc w:val="left"/>
      <w:pPr>
        <w:ind w:left="6732" w:hanging="1080"/>
      </w:pPr>
      <w:rPr>
        <w:rFonts w:hint="default"/>
      </w:rPr>
    </w:lvl>
    <w:lvl w:ilvl="5">
      <w:start w:val="1"/>
      <w:numFmt w:val="decimal"/>
      <w:lvlText w:val="%1.%2.%3.%4.%5.%6."/>
      <w:lvlJc w:val="left"/>
      <w:pPr>
        <w:ind w:left="8145" w:hanging="1080"/>
      </w:pPr>
      <w:rPr>
        <w:rFonts w:hint="default"/>
      </w:rPr>
    </w:lvl>
    <w:lvl w:ilvl="6">
      <w:start w:val="1"/>
      <w:numFmt w:val="decimal"/>
      <w:lvlText w:val="%1.%2.%3.%4.%5.%6.%7."/>
      <w:lvlJc w:val="left"/>
      <w:pPr>
        <w:ind w:left="9918" w:hanging="1440"/>
      </w:pPr>
      <w:rPr>
        <w:rFonts w:hint="default"/>
      </w:rPr>
    </w:lvl>
    <w:lvl w:ilvl="7">
      <w:start w:val="1"/>
      <w:numFmt w:val="decimal"/>
      <w:lvlText w:val="%1.%2.%3.%4.%5.%6.%7.%8."/>
      <w:lvlJc w:val="left"/>
      <w:pPr>
        <w:ind w:left="11331" w:hanging="1440"/>
      </w:pPr>
      <w:rPr>
        <w:rFonts w:hint="default"/>
      </w:rPr>
    </w:lvl>
    <w:lvl w:ilvl="8">
      <w:start w:val="1"/>
      <w:numFmt w:val="decimal"/>
      <w:lvlText w:val="%1.%2.%3.%4.%5.%6.%7.%8.%9."/>
      <w:lvlJc w:val="left"/>
      <w:pPr>
        <w:ind w:left="13104" w:hanging="1800"/>
      </w:pPr>
      <w:rPr>
        <w:rFonts w:hint="default"/>
      </w:rPr>
    </w:lvl>
  </w:abstractNum>
  <w:abstractNum w:abstractNumId="72">
    <w:nsid w:val="3EB952BB"/>
    <w:multiLevelType w:val="hybridMultilevel"/>
    <w:tmpl w:val="0EC3E7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3F722DDF"/>
    <w:multiLevelType w:val="hybridMultilevel"/>
    <w:tmpl w:val="0A98C8B0"/>
    <w:lvl w:ilvl="0" w:tplc="7C3EFA0E">
      <w:start w:val="1"/>
      <w:numFmt w:val="lowerLetter"/>
      <w:pStyle w:val="T6sec3g"/>
      <w:lvlText w:val="Tableeau   6.3.7%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4">
    <w:nsid w:val="3FEC7168"/>
    <w:multiLevelType w:val="multilevel"/>
    <w:tmpl w:val="4850A356"/>
    <w:lvl w:ilvl="0">
      <w:start w:val="3"/>
      <w:numFmt w:val="none"/>
      <w:lvlText w:val="5.2."/>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41657D04"/>
    <w:multiLevelType w:val="hybridMultilevel"/>
    <w:tmpl w:val="AE1E4C14"/>
    <w:lvl w:ilvl="0" w:tplc="D704394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1CB3D76"/>
    <w:multiLevelType w:val="hybridMultilevel"/>
    <w:tmpl w:val="1942396C"/>
    <w:lvl w:ilvl="0" w:tplc="583C5D22">
      <w:start w:val="1"/>
      <w:numFmt w:val="lowerLetter"/>
      <w:pStyle w:val="A2a"/>
      <w:lvlText w:val="Annexe 6.3.4%1"/>
      <w:lvlJc w:val="left"/>
      <w:pPr>
        <w:ind w:left="720" w:hanging="360"/>
      </w:pPr>
      <w:rPr>
        <w:rFonts w:hint="default"/>
        <w:b/>
        <w:bCs/>
        <w:i/>
        <w:iCs/>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7">
    <w:nsid w:val="423D52C1"/>
    <w:multiLevelType w:val="multilevel"/>
    <w:tmpl w:val="505C53A8"/>
    <w:lvl w:ilvl="0">
      <w:start w:val="3"/>
      <w:numFmt w:val="decimal"/>
      <w:lvlText w:val="%1.3.2."/>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4.%1.%2."/>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nsid w:val="43B4200A"/>
    <w:multiLevelType w:val="hybridMultilevel"/>
    <w:tmpl w:val="D45A0934"/>
    <w:lvl w:ilvl="0" w:tplc="239A32A0">
      <w:start w:val="1"/>
      <w:numFmt w:val="bullet"/>
      <w:lvlText w:val="-"/>
      <w:lvlJc w:val="left"/>
      <w:pPr>
        <w:ind w:left="360" w:hanging="360"/>
      </w:pPr>
      <w:rPr>
        <w:rFonts w:ascii="Times New Roman" w:hAnsi="Times New Roman" w:cs="Times New Roman"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cs="Wingdings" w:hint="default"/>
      </w:rPr>
    </w:lvl>
    <w:lvl w:ilvl="3" w:tplc="0C0C0001">
      <w:start w:val="1"/>
      <w:numFmt w:val="bullet"/>
      <w:lvlText w:val=""/>
      <w:lvlJc w:val="left"/>
      <w:pPr>
        <w:ind w:left="2520" w:hanging="360"/>
      </w:pPr>
      <w:rPr>
        <w:rFonts w:ascii="Symbol" w:hAnsi="Symbol" w:cs="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cs="Wingdings" w:hint="default"/>
      </w:rPr>
    </w:lvl>
    <w:lvl w:ilvl="6" w:tplc="0C0C0001">
      <w:start w:val="1"/>
      <w:numFmt w:val="bullet"/>
      <w:lvlText w:val=""/>
      <w:lvlJc w:val="left"/>
      <w:pPr>
        <w:ind w:left="4680" w:hanging="360"/>
      </w:pPr>
      <w:rPr>
        <w:rFonts w:ascii="Symbol" w:hAnsi="Symbol" w:cs="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cs="Wingdings" w:hint="default"/>
      </w:rPr>
    </w:lvl>
  </w:abstractNum>
  <w:abstractNum w:abstractNumId="79">
    <w:nsid w:val="44761515"/>
    <w:multiLevelType w:val="multilevel"/>
    <w:tmpl w:val="D2DC0054"/>
    <w:lvl w:ilvl="0">
      <w:start w:val="3"/>
      <w:numFmt w:val="decimal"/>
      <w:lvlText w:val="%1."/>
      <w:lvlJc w:val="left"/>
      <w:pPr>
        <w:ind w:left="720" w:hanging="360"/>
      </w:pPr>
      <w:rPr>
        <w:rFonts w:hint="default"/>
      </w:rPr>
    </w:lvl>
    <w:lvl w:ilvl="1">
      <w:start w:val="1"/>
      <w:numFmt w:val="decimal"/>
      <w:isLgl/>
      <w:lvlText w:val="%1.4."/>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0">
    <w:nsid w:val="454B22F5"/>
    <w:multiLevelType w:val="multilevel"/>
    <w:tmpl w:val="B262D79A"/>
    <w:lvl w:ilvl="0">
      <w:start w:val="3"/>
      <w:numFmt w:val="none"/>
      <w:lvlText w:val="5.4."/>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nsid w:val="458F4530"/>
    <w:multiLevelType w:val="hybridMultilevel"/>
    <w:tmpl w:val="0D643A6C"/>
    <w:lvl w:ilvl="0" w:tplc="01BCC488">
      <w:start w:val="1"/>
      <w:numFmt w:val="lowerLetter"/>
      <w:pStyle w:val="T5sec1b"/>
      <w:lvlText w:val="Tableau  5.1.2%1"/>
      <w:lvlJc w:val="left"/>
      <w:pPr>
        <w:ind w:left="2160" w:hanging="360"/>
      </w:pPr>
      <w:rPr>
        <w:rFonts w:hint="default"/>
        <w:b/>
        <w:bCs/>
        <w:i w:val="0"/>
        <w:iCs w:val="0"/>
        <w:sz w:val="24"/>
        <w:szCs w:val="24"/>
      </w:rPr>
    </w:lvl>
    <w:lvl w:ilvl="1" w:tplc="040C0019">
      <w:start w:val="1"/>
      <w:numFmt w:val="lowerLetter"/>
      <w:lvlText w:val="%2."/>
      <w:lvlJc w:val="left"/>
      <w:pPr>
        <w:ind w:left="2880" w:hanging="360"/>
      </w:pPr>
    </w:lvl>
    <w:lvl w:ilvl="2" w:tplc="040C001B">
      <w:start w:val="1"/>
      <w:numFmt w:val="lowerRoman"/>
      <w:lvlText w:val="%3."/>
      <w:lvlJc w:val="right"/>
      <w:pPr>
        <w:ind w:left="3600" w:hanging="180"/>
      </w:pPr>
    </w:lvl>
    <w:lvl w:ilvl="3" w:tplc="040C000F">
      <w:start w:val="1"/>
      <w:numFmt w:val="decimal"/>
      <w:lvlText w:val="%4."/>
      <w:lvlJc w:val="left"/>
      <w:pPr>
        <w:ind w:left="4320" w:hanging="360"/>
      </w:pPr>
    </w:lvl>
    <w:lvl w:ilvl="4" w:tplc="040C0019">
      <w:start w:val="1"/>
      <w:numFmt w:val="lowerLetter"/>
      <w:lvlText w:val="%5."/>
      <w:lvlJc w:val="left"/>
      <w:pPr>
        <w:ind w:left="5040" w:hanging="360"/>
      </w:pPr>
    </w:lvl>
    <w:lvl w:ilvl="5" w:tplc="040C001B">
      <w:start w:val="1"/>
      <w:numFmt w:val="lowerRoman"/>
      <w:lvlText w:val="%6."/>
      <w:lvlJc w:val="right"/>
      <w:pPr>
        <w:ind w:left="5760" w:hanging="180"/>
      </w:pPr>
    </w:lvl>
    <w:lvl w:ilvl="6" w:tplc="040C000F">
      <w:start w:val="1"/>
      <w:numFmt w:val="decimal"/>
      <w:lvlText w:val="%7."/>
      <w:lvlJc w:val="left"/>
      <w:pPr>
        <w:ind w:left="6480" w:hanging="360"/>
      </w:pPr>
    </w:lvl>
    <w:lvl w:ilvl="7" w:tplc="040C0019">
      <w:start w:val="1"/>
      <w:numFmt w:val="lowerLetter"/>
      <w:lvlText w:val="%8."/>
      <w:lvlJc w:val="left"/>
      <w:pPr>
        <w:ind w:left="7200" w:hanging="360"/>
      </w:pPr>
    </w:lvl>
    <w:lvl w:ilvl="8" w:tplc="040C001B">
      <w:start w:val="1"/>
      <w:numFmt w:val="lowerRoman"/>
      <w:lvlText w:val="%9."/>
      <w:lvlJc w:val="right"/>
      <w:pPr>
        <w:ind w:left="7920" w:hanging="180"/>
      </w:pPr>
    </w:lvl>
  </w:abstractNum>
  <w:abstractNum w:abstractNumId="82">
    <w:nsid w:val="47FC45D8"/>
    <w:multiLevelType w:val="hybridMultilevel"/>
    <w:tmpl w:val="80246A4C"/>
    <w:lvl w:ilvl="0" w:tplc="11B84200">
      <w:start w:val="1"/>
      <w:numFmt w:val="lowerLetter"/>
      <w:pStyle w:val="T6sec2b"/>
      <w:lvlText w:val="Tableau 6.2.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nsid w:val="48285A20"/>
    <w:multiLevelType w:val="hybridMultilevel"/>
    <w:tmpl w:val="690EC206"/>
    <w:lvl w:ilvl="0" w:tplc="83283740">
      <w:start w:val="300"/>
      <w:numFmt w:val="bullet"/>
      <w:lvlText w:val="-"/>
      <w:lvlJc w:val="left"/>
      <w:pPr>
        <w:ind w:left="360" w:hanging="360"/>
      </w:pPr>
      <w:rPr>
        <w:rFonts w:ascii="Arial" w:eastAsia="Times New Roman" w:hAnsi="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cs="Wingdings" w:hint="default"/>
      </w:rPr>
    </w:lvl>
    <w:lvl w:ilvl="3" w:tplc="040C0001">
      <w:start w:val="1"/>
      <w:numFmt w:val="bullet"/>
      <w:lvlText w:val=""/>
      <w:lvlJc w:val="left"/>
      <w:pPr>
        <w:ind w:left="2520" w:hanging="360"/>
      </w:pPr>
      <w:rPr>
        <w:rFonts w:ascii="Symbol" w:hAnsi="Symbol" w:cs="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cs="Wingdings" w:hint="default"/>
      </w:rPr>
    </w:lvl>
    <w:lvl w:ilvl="6" w:tplc="040C0001">
      <w:start w:val="1"/>
      <w:numFmt w:val="bullet"/>
      <w:lvlText w:val=""/>
      <w:lvlJc w:val="left"/>
      <w:pPr>
        <w:ind w:left="4680" w:hanging="360"/>
      </w:pPr>
      <w:rPr>
        <w:rFonts w:ascii="Symbol" w:hAnsi="Symbol" w:cs="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cs="Wingdings" w:hint="default"/>
      </w:rPr>
    </w:lvl>
  </w:abstractNum>
  <w:abstractNum w:abstractNumId="84">
    <w:nsid w:val="48C57759"/>
    <w:multiLevelType w:val="multilevel"/>
    <w:tmpl w:val="0A385442"/>
    <w:lvl w:ilvl="0">
      <w:start w:val="3"/>
      <w:numFmt w:val="none"/>
      <w:lvlText w:val="4.1.2."/>
      <w:lvlJc w:val="left"/>
      <w:pPr>
        <w:ind w:left="720" w:hanging="360"/>
      </w:pPr>
      <w:rPr>
        <w:rFonts w:hint="default"/>
        <w:b w:val="0"/>
        <w:cap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caps/>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49BA2D01"/>
    <w:multiLevelType w:val="multilevel"/>
    <w:tmpl w:val="27A8AAF2"/>
    <w:styleLink w:val="Styl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4A7352FA"/>
    <w:multiLevelType w:val="hybridMultilevel"/>
    <w:tmpl w:val="7F989278"/>
    <w:lvl w:ilvl="0" w:tplc="6A7200CE">
      <w:start w:val="1"/>
      <w:numFmt w:val="lowerLetter"/>
      <w:lvlText w:val="%1)"/>
      <w:lvlJc w:val="left"/>
      <w:pPr>
        <w:ind w:left="360" w:hanging="360"/>
      </w:pPr>
      <w:rPr>
        <w:rFonts w:ascii="Times New Roman" w:hAnsi="Times New Roman" w:cs="Times New Roman" w:hint="default"/>
      </w:rPr>
    </w:lvl>
    <w:lvl w:ilvl="1" w:tplc="78C2075A">
      <w:start w:val="1"/>
      <w:numFmt w:val="lowerLetter"/>
      <w:lvlText w:val="%2)"/>
      <w:lvlJc w:val="left"/>
      <w:pPr>
        <w:ind w:left="1080" w:hanging="360"/>
      </w:pPr>
      <w:rPr>
        <w:rFonts w:ascii="Times New Roman" w:hAnsi="Times New Roman" w:cs="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7">
    <w:nsid w:val="4B0E26FF"/>
    <w:multiLevelType w:val="hybridMultilevel"/>
    <w:tmpl w:val="2D3A62A0"/>
    <w:lvl w:ilvl="0" w:tplc="09EABD16">
      <w:start w:val="1"/>
      <w:numFmt w:val="decimal"/>
      <w:pStyle w:val="T3sec4"/>
      <w:lvlText w:val="Tableau 3.4.%1"/>
      <w:lvlJc w:val="left"/>
      <w:pPr>
        <w:ind w:left="1170" w:hanging="360"/>
      </w:pPr>
      <w:rPr>
        <w:rFonts w:hint="default"/>
        <w:b/>
        <w:bCs/>
        <w:i w:val="0"/>
        <w:iCs w:val="0"/>
        <w:sz w:val="24"/>
        <w:szCs w:val="24"/>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88">
    <w:nsid w:val="4BD61B71"/>
    <w:multiLevelType w:val="hybridMultilevel"/>
    <w:tmpl w:val="F46ED71A"/>
    <w:lvl w:ilvl="0" w:tplc="24F63980">
      <w:start w:val="1"/>
      <w:numFmt w:val="decimal"/>
      <w:pStyle w:val="T3sec2"/>
      <w:lvlText w:val="Tableau  3.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9">
    <w:nsid w:val="4D4D4DBE"/>
    <w:multiLevelType w:val="multilevel"/>
    <w:tmpl w:val="A42CB1B6"/>
    <w:lvl w:ilvl="0">
      <w:start w:val="3"/>
      <w:numFmt w:val="decimal"/>
      <w:lvlText w:val="%1.3.4."/>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4.%1.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0">
    <w:nsid w:val="4E0D1067"/>
    <w:multiLevelType w:val="hybridMultilevel"/>
    <w:tmpl w:val="FCD4E6F0"/>
    <w:lvl w:ilvl="0" w:tplc="1A34C3FE">
      <w:start w:val="1"/>
      <w:numFmt w:val="lowerLetter"/>
      <w:pStyle w:val="T6sec3j"/>
      <w:lvlText w:val="Tableeau   6.3.10%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1">
    <w:nsid w:val="4F3D288A"/>
    <w:multiLevelType w:val="hybridMultilevel"/>
    <w:tmpl w:val="D892E57C"/>
    <w:lvl w:ilvl="0" w:tplc="637AA38C">
      <w:start w:val="1"/>
      <w:numFmt w:val="lowerLetter"/>
      <w:pStyle w:val="A2c"/>
      <w:lvlText w:val="Annexe 6.3.7%1"/>
      <w:lvlJc w:val="left"/>
      <w:pPr>
        <w:ind w:left="2160" w:hanging="360"/>
      </w:pPr>
      <w:rPr>
        <w:rFonts w:hint="default"/>
        <w:b/>
        <w:bCs/>
        <w:i/>
        <w:iCs/>
        <w:sz w:val="24"/>
        <w:szCs w:val="24"/>
      </w:rPr>
    </w:lvl>
    <w:lvl w:ilvl="1" w:tplc="040C0019">
      <w:start w:val="1"/>
      <w:numFmt w:val="lowerLetter"/>
      <w:lvlText w:val="%2."/>
      <w:lvlJc w:val="left"/>
      <w:pPr>
        <w:ind w:left="2880" w:hanging="360"/>
      </w:pPr>
    </w:lvl>
    <w:lvl w:ilvl="2" w:tplc="040C001B">
      <w:start w:val="1"/>
      <w:numFmt w:val="lowerRoman"/>
      <w:lvlText w:val="%3."/>
      <w:lvlJc w:val="right"/>
      <w:pPr>
        <w:ind w:left="3600" w:hanging="180"/>
      </w:pPr>
    </w:lvl>
    <w:lvl w:ilvl="3" w:tplc="040C000F">
      <w:start w:val="1"/>
      <w:numFmt w:val="decimal"/>
      <w:lvlText w:val="%4."/>
      <w:lvlJc w:val="left"/>
      <w:pPr>
        <w:ind w:left="4320" w:hanging="360"/>
      </w:pPr>
    </w:lvl>
    <w:lvl w:ilvl="4" w:tplc="040C0019">
      <w:start w:val="1"/>
      <w:numFmt w:val="lowerLetter"/>
      <w:lvlText w:val="%5."/>
      <w:lvlJc w:val="left"/>
      <w:pPr>
        <w:ind w:left="5040" w:hanging="360"/>
      </w:pPr>
    </w:lvl>
    <w:lvl w:ilvl="5" w:tplc="040C001B">
      <w:start w:val="1"/>
      <w:numFmt w:val="lowerRoman"/>
      <w:lvlText w:val="%6."/>
      <w:lvlJc w:val="right"/>
      <w:pPr>
        <w:ind w:left="5760" w:hanging="180"/>
      </w:pPr>
    </w:lvl>
    <w:lvl w:ilvl="6" w:tplc="040C000F">
      <w:start w:val="1"/>
      <w:numFmt w:val="decimal"/>
      <w:lvlText w:val="%7."/>
      <w:lvlJc w:val="left"/>
      <w:pPr>
        <w:ind w:left="6480" w:hanging="360"/>
      </w:pPr>
    </w:lvl>
    <w:lvl w:ilvl="7" w:tplc="040C0019">
      <w:start w:val="1"/>
      <w:numFmt w:val="lowerLetter"/>
      <w:lvlText w:val="%8."/>
      <w:lvlJc w:val="left"/>
      <w:pPr>
        <w:ind w:left="7200" w:hanging="360"/>
      </w:pPr>
    </w:lvl>
    <w:lvl w:ilvl="8" w:tplc="040C001B">
      <w:start w:val="1"/>
      <w:numFmt w:val="lowerRoman"/>
      <w:lvlText w:val="%9."/>
      <w:lvlJc w:val="right"/>
      <w:pPr>
        <w:ind w:left="7920" w:hanging="180"/>
      </w:pPr>
    </w:lvl>
  </w:abstractNum>
  <w:abstractNum w:abstractNumId="92">
    <w:nsid w:val="4FB63024"/>
    <w:multiLevelType w:val="hybridMultilevel"/>
    <w:tmpl w:val="41EEBBF0"/>
    <w:lvl w:ilvl="0" w:tplc="83283740">
      <w:start w:val="300"/>
      <w:numFmt w:val="bullet"/>
      <w:lvlText w:val="-"/>
      <w:lvlJc w:val="left"/>
      <w:pPr>
        <w:ind w:left="360" w:hanging="360"/>
      </w:pPr>
      <w:rPr>
        <w:rFonts w:ascii="Arial" w:eastAsia="Times New Roman" w:hAnsi="Aria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cs="Wingdings" w:hint="default"/>
      </w:rPr>
    </w:lvl>
    <w:lvl w:ilvl="3" w:tplc="0C0C0001">
      <w:start w:val="1"/>
      <w:numFmt w:val="bullet"/>
      <w:lvlText w:val=""/>
      <w:lvlJc w:val="left"/>
      <w:pPr>
        <w:ind w:left="2520" w:hanging="360"/>
      </w:pPr>
      <w:rPr>
        <w:rFonts w:ascii="Symbol" w:hAnsi="Symbol" w:cs="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cs="Wingdings" w:hint="default"/>
      </w:rPr>
    </w:lvl>
    <w:lvl w:ilvl="6" w:tplc="0C0C0001">
      <w:start w:val="1"/>
      <w:numFmt w:val="bullet"/>
      <w:lvlText w:val=""/>
      <w:lvlJc w:val="left"/>
      <w:pPr>
        <w:ind w:left="4680" w:hanging="360"/>
      </w:pPr>
      <w:rPr>
        <w:rFonts w:ascii="Symbol" w:hAnsi="Symbol" w:cs="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cs="Wingdings" w:hint="default"/>
      </w:rPr>
    </w:lvl>
  </w:abstractNum>
  <w:abstractNum w:abstractNumId="93">
    <w:nsid w:val="50242D1B"/>
    <w:multiLevelType w:val="hybridMultilevel"/>
    <w:tmpl w:val="3A88FE64"/>
    <w:lvl w:ilvl="0" w:tplc="A52051FC">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534C52CD"/>
    <w:multiLevelType w:val="hybridMultilevel"/>
    <w:tmpl w:val="AB2A1292"/>
    <w:lvl w:ilvl="0" w:tplc="040C0009">
      <w:start w:val="1"/>
      <w:numFmt w:val="lowerLetter"/>
      <w:pStyle w:val="T6sec3e"/>
      <w:lvlText w:val="Tableeau   6.3.5%1"/>
      <w:lvlJc w:val="left"/>
      <w:pPr>
        <w:ind w:left="720" w:hanging="360"/>
      </w:pPr>
      <w:rPr>
        <w:rFonts w:hint="default"/>
        <w:b/>
        <w:bCs/>
        <w:i w:val="0"/>
        <w:iCs w:val="0"/>
        <w:sz w:val="24"/>
        <w:szCs w:val="24"/>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95">
    <w:nsid w:val="54CF53F7"/>
    <w:multiLevelType w:val="hybridMultilevel"/>
    <w:tmpl w:val="115C658A"/>
    <w:lvl w:ilvl="0" w:tplc="A8B6DB68">
      <w:start w:val="1"/>
      <w:numFmt w:val="decimal"/>
      <w:pStyle w:val="T6Sec4b"/>
      <w:lvlText w:val="Tableau   6.4.%1b"/>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6">
    <w:nsid w:val="56B4799E"/>
    <w:multiLevelType w:val="hybridMultilevel"/>
    <w:tmpl w:val="F7BEE0D4"/>
    <w:lvl w:ilvl="0" w:tplc="E626F9E6">
      <w:start w:val="1"/>
      <w:numFmt w:val="lowerLetter"/>
      <w:pStyle w:val="T6sec2a"/>
      <w:lvlText w:val="Tableau 6.2.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7">
    <w:nsid w:val="57023381"/>
    <w:multiLevelType w:val="multilevel"/>
    <w:tmpl w:val="245EA8C4"/>
    <w:lvl w:ilvl="0">
      <w:start w:val="3"/>
      <w:numFmt w:val="decimal"/>
      <w:lvlText w:val="%1."/>
      <w:lvlJc w:val="left"/>
      <w:pPr>
        <w:ind w:left="1068" w:hanging="360"/>
      </w:pPr>
      <w:rPr>
        <w:rFonts w:hint="default"/>
      </w:rPr>
    </w:lvl>
    <w:lvl w:ilvl="1">
      <w:start w:val="3"/>
      <w:numFmt w:val="decimal"/>
      <w:lvlText w:val="%1.%2."/>
      <w:lvlJc w:val="left"/>
      <w:pPr>
        <w:ind w:left="3198" w:hanging="360"/>
      </w:pPr>
      <w:rPr>
        <w:rFonts w:hint="default"/>
      </w:rPr>
    </w:lvl>
    <w:lvl w:ilvl="2">
      <w:start w:val="1"/>
      <w:numFmt w:val="decimal"/>
      <w:lvlText w:val="%1.%2.%3."/>
      <w:lvlJc w:val="left"/>
      <w:pPr>
        <w:ind w:left="5688" w:hanging="720"/>
      </w:pPr>
      <w:rPr>
        <w:rFonts w:hint="default"/>
      </w:rPr>
    </w:lvl>
    <w:lvl w:ilvl="3">
      <w:start w:val="1"/>
      <w:numFmt w:val="decimal"/>
      <w:lvlText w:val="%1.%2.%3.%4."/>
      <w:lvlJc w:val="left"/>
      <w:pPr>
        <w:ind w:left="7818" w:hanging="720"/>
      </w:pPr>
      <w:rPr>
        <w:rFonts w:hint="default"/>
      </w:rPr>
    </w:lvl>
    <w:lvl w:ilvl="4">
      <w:start w:val="1"/>
      <w:numFmt w:val="decimal"/>
      <w:lvlText w:val="%1.%2.%3.%4.%5."/>
      <w:lvlJc w:val="left"/>
      <w:pPr>
        <w:ind w:left="10308" w:hanging="1080"/>
      </w:pPr>
      <w:rPr>
        <w:rFonts w:hint="default"/>
      </w:rPr>
    </w:lvl>
    <w:lvl w:ilvl="5">
      <w:start w:val="1"/>
      <w:numFmt w:val="decimal"/>
      <w:lvlText w:val="%1.%2.%3.%4.%5.%6."/>
      <w:lvlJc w:val="left"/>
      <w:pPr>
        <w:ind w:left="12438" w:hanging="1080"/>
      </w:pPr>
      <w:rPr>
        <w:rFonts w:hint="default"/>
      </w:rPr>
    </w:lvl>
    <w:lvl w:ilvl="6">
      <w:start w:val="1"/>
      <w:numFmt w:val="decimal"/>
      <w:lvlText w:val="%1.%2.%3.%4.%5.%6.%7."/>
      <w:lvlJc w:val="left"/>
      <w:pPr>
        <w:ind w:left="14928" w:hanging="1440"/>
      </w:pPr>
      <w:rPr>
        <w:rFonts w:hint="default"/>
      </w:rPr>
    </w:lvl>
    <w:lvl w:ilvl="7">
      <w:start w:val="1"/>
      <w:numFmt w:val="decimal"/>
      <w:lvlText w:val="%1.%2.%3.%4.%5.%6.%7.%8."/>
      <w:lvlJc w:val="left"/>
      <w:pPr>
        <w:ind w:left="17058" w:hanging="1440"/>
      </w:pPr>
      <w:rPr>
        <w:rFonts w:hint="default"/>
      </w:rPr>
    </w:lvl>
    <w:lvl w:ilvl="8">
      <w:start w:val="1"/>
      <w:numFmt w:val="decimal"/>
      <w:lvlText w:val="%1.%2.%3.%4.%5.%6.%7.%8.%9."/>
      <w:lvlJc w:val="left"/>
      <w:pPr>
        <w:ind w:left="19548" w:hanging="1800"/>
      </w:pPr>
      <w:rPr>
        <w:rFonts w:hint="default"/>
      </w:rPr>
    </w:lvl>
  </w:abstractNum>
  <w:abstractNum w:abstractNumId="98">
    <w:nsid w:val="5A4A106D"/>
    <w:multiLevelType w:val="hybridMultilevel"/>
    <w:tmpl w:val="CE44835C"/>
    <w:lvl w:ilvl="0" w:tplc="2D4C2660">
      <w:start w:val="1"/>
      <w:numFmt w:val="lowerLetter"/>
      <w:pStyle w:val="T6sec3i"/>
      <w:lvlText w:val="Tableeau   6.3.9%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9">
    <w:nsid w:val="5BC972DD"/>
    <w:multiLevelType w:val="hybridMultilevel"/>
    <w:tmpl w:val="92565BDE"/>
    <w:lvl w:ilvl="0" w:tplc="12C2E83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5BD07403"/>
    <w:multiLevelType w:val="multilevel"/>
    <w:tmpl w:val="CA4A051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5D112675"/>
    <w:multiLevelType w:val="multilevel"/>
    <w:tmpl w:val="AC8A99BE"/>
    <w:lvl w:ilvl="0">
      <w:start w:val="3"/>
      <w:numFmt w:val="decimal"/>
      <w:lvlText w:val="5.%1.3."/>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2">
    <w:nsid w:val="5DCB7798"/>
    <w:multiLevelType w:val="multilevel"/>
    <w:tmpl w:val="B350837A"/>
    <w:lvl w:ilvl="0">
      <w:start w:val="4"/>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03">
    <w:nsid w:val="5EE95FC1"/>
    <w:multiLevelType w:val="hybridMultilevel"/>
    <w:tmpl w:val="7B1A1DE2"/>
    <w:lvl w:ilvl="0" w:tplc="C03E7BD2">
      <w:start w:val="1"/>
      <w:numFmt w:val="decimal"/>
      <w:pStyle w:val="T2sec4"/>
      <w:lvlText w:val="Tableau  2.4.%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4">
    <w:nsid w:val="5FB20042"/>
    <w:multiLevelType w:val="hybridMultilevel"/>
    <w:tmpl w:val="2DB27AEC"/>
    <w:lvl w:ilvl="0" w:tplc="CCF42C3E">
      <w:start w:val="1"/>
      <w:numFmt w:val="lowerLetter"/>
      <w:pStyle w:val="T6sec3h"/>
      <w:lvlText w:val="Tableeau   6.3.8%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5">
    <w:nsid w:val="6000234E"/>
    <w:multiLevelType w:val="hybridMultilevel"/>
    <w:tmpl w:val="213AF4BC"/>
    <w:lvl w:ilvl="0" w:tplc="64F6C1A2">
      <w:start w:val="1"/>
      <w:numFmt w:val="decimal"/>
      <w:pStyle w:val="A1"/>
      <w:lvlText w:val="Annexe 6.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6">
    <w:nsid w:val="61AE293D"/>
    <w:multiLevelType w:val="hybridMultilevel"/>
    <w:tmpl w:val="7D4424CE"/>
    <w:lvl w:ilvl="0" w:tplc="1CCE6792">
      <w:start w:val="1"/>
      <w:numFmt w:val="decimal"/>
      <w:pStyle w:val="T6sec5b"/>
      <w:lvlText w:val="Tableau   6.5.%1b"/>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7">
    <w:nsid w:val="61E442B3"/>
    <w:multiLevelType w:val="multilevel"/>
    <w:tmpl w:val="8E02752A"/>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nsid w:val="6220386E"/>
    <w:multiLevelType w:val="hybridMultilevel"/>
    <w:tmpl w:val="138E8D26"/>
    <w:lvl w:ilvl="0" w:tplc="61EC2748">
      <w:start w:val="1"/>
      <w:numFmt w:val="lowerLetter"/>
      <w:pStyle w:val="T6sec3k"/>
      <w:lvlText w:val="Tableeau   6.3.1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9">
    <w:nsid w:val="63CB3699"/>
    <w:multiLevelType w:val="hybridMultilevel"/>
    <w:tmpl w:val="A8F8D98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0">
    <w:nsid w:val="657D3AAC"/>
    <w:multiLevelType w:val="hybridMultilevel"/>
    <w:tmpl w:val="3AB0D738"/>
    <w:lvl w:ilvl="0" w:tplc="E5E4E6A4">
      <w:start w:val="1"/>
      <w:numFmt w:val="lowerLetter"/>
      <w:pStyle w:val="T5sec1a"/>
      <w:lvlText w:val="Tableau   5.1.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1">
    <w:nsid w:val="65B47C56"/>
    <w:multiLevelType w:val="multilevel"/>
    <w:tmpl w:val="212841BA"/>
    <w:lvl w:ilvl="0">
      <w:start w:val="3"/>
      <w:numFmt w:val="decimal"/>
      <w:lvlText w:val="%1."/>
      <w:lvlJc w:val="left"/>
      <w:pPr>
        <w:ind w:left="720" w:hanging="360"/>
      </w:pPr>
      <w:rPr>
        <w:rFonts w:hint="default"/>
      </w:rPr>
    </w:lvl>
    <w:lvl w:ilvl="1">
      <w:start w:val="1"/>
      <w:numFmt w:val="decimal"/>
      <w:isLgl/>
      <w:lvlText w:val="4.%2."/>
      <w:lvlJc w:val="left"/>
      <w:pPr>
        <w:ind w:left="1080" w:hanging="720"/>
      </w:pPr>
      <w:rPr>
        <w:rFonts w:hint="default"/>
        <w:b/>
      </w:rPr>
    </w:lvl>
    <w:lvl w:ilvl="2">
      <w:start w:val="1"/>
      <w:numFmt w:val="decimal"/>
      <w:isLgl/>
      <w:lvlText w:val="4.%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2">
    <w:nsid w:val="67CC5706"/>
    <w:multiLevelType w:val="hybridMultilevel"/>
    <w:tmpl w:val="B694CB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3">
    <w:nsid w:val="68BF3570"/>
    <w:multiLevelType w:val="hybridMultilevel"/>
    <w:tmpl w:val="85A47D9A"/>
    <w:lvl w:ilvl="0" w:tplc="12C2E836">
      <w:start w:val="1"/>
      <w:numFmt w:val="bullet"/>
      <w:lvlText w:val=""/>
      <w:lvlJc w:val="left"/>
      <w:pPr>
        <w:tabs>
          <w:tab w:val="num" w:pos="720"/>
        </w:tabs>
        <w:ind w:left="720" w:hanging="360"/>
      </w:pPr>
      <w:rPr>
        <w:rFonts w:ascii="Wingdings" w:hAnsi="Wingdings" w:hint="default"/>
      </w:rPr>
    </w:lvl>
    <w:lvl w:ilvl="1" w:tplc="0588B0BC" w:tentative="1">
      <w:start w:val="1"/>
      <w:numFmt w:val="bullet"/>
      <w:lvlText w:val=""/>
      <w:lvlJc w:val="left"/>
      <w:pPr>
        <w:tabs>
          <w:tab w:val="num" w:pos="1440"/>
        </w:tabs>
        <w:ind w:left="1440" w:hanging="360"/>
      </w:pPr>
      <w:rPr>
        <w:rFonts w:ascii="Wingdings" w:hAnsi="Wingdings" w:hint="default"/>
      </w:rPr>
    </w:lvl>
    <w:lvl w:ilvl="2" w:tplc="8F42669C" w:tentative="1">
      <w:start w:val="1"/>
      <w:numFmt w:val="bullet"/>
      <w:lvlText w:val=""/>
      <w:lvlJc w:val="left"/>
      <w:pPr>
        <w:tabs>
          <w:tab w:val="num" w:pos="2160"/>
        </w:tabs>
        <w:ind w:left="2160" w:hanging="360"/>
      </w:pPr>
      <w:rPr>
        <w:rFonts w:ascii="Wingdings" w:hAnsi="Wingdings" w:hint="default"/>
      </w:rPr>
    </w:lvl>
    <w:lvl w:ilvl="3" w:tplc="CFBE247A" w:tentative="1">
      <w:start w:val="1"/>
      <w:numFmt w:val="bullet"/>
      <w:lvlText w:val=""/>
      <w:lvlJc w:val="left"/>
      <w:pPr>
        <w:tabs>
          <w:tab w:val="num" w:pos="2880"/>
        </w:tabs>
        <w:ind w:left="2880" w:hanging="360"/>
      </w:pPr>
      <w:rPr>
        <w:rFonts w:ascii="Wingdings" w:hAnsi="Wingdings" w:hint="default"/>
      </w:rPr>
    </w:lvl>
    <w:lvl w:ilvl="4" w:tplc="B0CCFF44" w:tentative="1">
      <w:start w:val="1"/>
      <w:numFmt w:val="bullet"/>
      <w:lvlText w:val=""/>
      <w:lvlJc w:val="left"/>
      <w:pPr>
        <w:tabs>
          <w:tab w:val="num" w:pos="3600"/>
        </w:tabs>
        <w:ind w:left="3600" w:hanging="360"/>
      </w:pPr>
      <w:rPr>
        <w:rFonts w:ascii="Wingdings" w:hAnsi="Wingdings" w:hint="default"/>
      </w:rPr>
    </w:lvl>
    <w:lvl w:ilvl="5" w:tplc="70F4C2B0" w:tentative="1">
      <w:start w:val="1"/>
      <w:numFmt w:val="bullet"/>
      <w:lvlText w:val=""/>
      <w:lvlJc w:val="left"/>
      <w:pPr>
        <w:tabs>
          <w:tab w:val="num" w:pos="4320"/>
        </w:tabs>
        <w:ind w:left="4320" w:hanging="360"/>
      </w:pPr>
      <w:rPr>
        <w:rFonts w:ascii="Wingdings" w:hAnsi="Wingdings" w:hint="default"/>
      </w:rPr>
    </w:lvl>
    <w:lvl w:ilvl="6" w:tplc="76B8FF5A" w:tentative="1">
      <w:start w:val="1"/>
      <w:numFmt w:val="bullet"/>
      <w:lvlText w:val=""/>
      <w:lvlJc w:val="left"/>
      <w:pPr>
        <w:tabs>
          <w:tab w:val="num" w:pos="5040"/>
        </w:tabs>
        <w:ind w:left="5040" w:hanging="360"/>
      </w:pPr>
      <w:rPr>
        <w:rFonts w:ascii="Wingdings" w:hAnsi="Wingdings" w:hint="default"/>
      </w:rPr>
    </w:lvl>
    <w:lvl w:ilvl="7" w:tplc="DB7A6CC0" w:tentative="1">
      <w:start w:val="1"/>
      <w:numFmt w:val="bullet"/>
      <w:lvlText w:val=""/>
      <w:lvlJc w:val="left"/>
      <w:pPr>
        <w:tabs>
          <w:tab w:val="num" w:pos="5760"/>
        </w:tabs>
        <w:ind w:left="5760" w:hanging="360"/>
      </w:pPr>
      <w:rPr>
        <w:rFonts w:ascii="Wingdings" w:hAnsi="Wingdings" w:hint="default"/>
      </w:rPr>
    </w:lvl>
    <w:lvl w:ilvl="8" w:tplc="64F8DACE" w:tentative="1">
      <w:start w:val="1"/>
      <w:numFmt w:val="bullet"/>
      <w:lvlText w:val=""/>
      <w:lvlJc w:val="left"/>
      <w:pPr>
        <w:tabs>
          <w:tab w:val="num" w:pos="6480"/>
        </w:tabs>
        <w:ind w:left="6480" w:hanging="360"/>
      </w:pPr>
      <w:rPr>
        <w:rFonts w:ascii="Wingdings" w:hAnsi="Wingdings" w:hint="default"/>
      </w:rPr>
    </w:lvl>
  </w:abstractNum>
  <w:abstractNum w:abstractNumId="114">
    <w:nsid w:val="68CF09AE"/>
    <w:multiLevelType w:val="multilevel"/>
    <w:tmpl w:val="0E1453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69C46301"/>
    <w:multiLevelType w:val="multilevel"/>
    <w:tmpl w:val="BD1A1B86"/>
    <w:lvl w:ilvl="0">
      <w:start w:val="3"/>
      <w:numFmt w:val="decimal"/>
      <w:lvlText w:val="%1."/>
      <w:lvlJc w:val="left"/>
      <w:pPr>
        <w:ind w:left="720" w:hanging="360"/>
      </w:pPr>
      <w:rPr>
        <w:rFonts w:hint="default"/>
      </w:rPr>
    </w:lvl>
    <w:lvl w:ilvl="1">
      <w:start w:val="1"/>
      <w:numFmt w:val="none"/>
      <w:isLgl/>
      <w:lvlText w:val="4.5"/>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4.%25.%3."/>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nsid w:val="6B0034C3"/>
    <w:multiLevelType w:val="multilevel"/>
    <w:tmpl w:val="040C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nsid w:val="6B171002"/>
    <w:multiLevelType w:val="hybridMultilevel"/>
    <w:tmpl w:val="7BC49064"/>
    <w:lvl w:ilvl="0" w:tplc="348C68CC">
      <w:start w:val="1"/>
      <w:numFmt w:val="lowerLetter"/>
      <w:pStyle w:val="T5sec2"/>
      <w:lvlText w:val="Tableau  5.2'.1%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8">
    <w:nsid w:val="6C0B35C2"/>
    <w:multiLevelType w:val="hybridMultilevel"/>
    <w:tmpl w:val="08D669A6"/>
    <w:lvl w:ilvl="0" w:tplc="1DE078EE">
      <w:start w:val="1"/>
      <w:numFmt w:val="lowerLetter"/>
      <w:pStyle w:val="T6sec1e"/>
      <w:lvlText w:val="Tableau 6.1.5%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9">
    <w:nsid w:val="6CD57E4B"/>
    <w:multiLevelType w:val="hybridMultilevel"/>
    <w:tmpl w:val="97DC5082"/>
    <w:lvl w:ilvl="0" w:tplc="0C0C0005">
      <w:start w:val="1"/>
      <w:numFmt w:val="bullet"/>
      <w:lvlText w:val=""/>
      <w:lvlJc w:val="left"/>
      <w:pPr>
        <w:tabs>
          <w:tab w:val="num" w:pos="900"/>
        </w:tabs>
        <w:ind w:left="900" w:hanging="360"/>
      </w:pPr>
      <w:rPr>
        <w:rFonts w:ascii="Wingdings" w:hAnsi="Wingdings" w:cs="Wingdings" w:hint="default"/>
      </w:rPr>
    </w:lvl>
    <w:lvl w:ilvl="1" w:tplc="040C0003">
      <w:start w:val="1"/>
      <w:numFmt w:val="bullet"/>
      <w:lvlText w:val="o"/>
      <w:lvlJc w:val="left"/>
      <w:pPr>
        <w:tabs>
          <w:tab w:val="num" w:pos="1620"/>
        </w:tabs>
        <w:ind w:left="1620" w:hanging="360"/>
      </w:pPr>
      <w:rPr>
        <w:rFonts w:ascii="Courier New" w:hAnsi="Courier New" w:cs="Courier New" w:hint="default"/>
      </w:rPr>
    </w:lvl>
    <w:lvl w:ilvl="2" w:tplc="040C0005">
      <w:start w:val="1"/>
      <w:numFmt w:val="bullet"/>
      <w:lvlText w:val=""/>
      <w:lvlJc w:val="left"/>
      <w:pPr>
        <w:tabs>
          <w:tab w:val="num" w:pos="2340"/>
        </w:tabs>
        <w:ind w:left="2340" w:hanging="360"/>
      </w:pPr>
      <w:rPr>
        <w:rFonts w:ascii="Wingdings" w:hAnsi="Wingdings" w:cs="Wingdings" w:hint="default"/>
      </w:rPr>
    </w:lvl>
    <w:lvl w:ilvl="3" w:tplc="040C0001">
      <w:start w:val="1"/>
      <w:numFmt w:val="bullet"/>
      <w:lvlText w:val=""/>
      <w:lvlJc w:val="left"/>
      <w:pPr>
        <w:tabs>
          <w:tab w:val="num" w:pos="3060"/>
        </w:tabs>
        <w:ind w:left="3060" w:hanging="360"/>
      </w:pPr>
      <w:rPr>
        <w:rFonts w:ascii="Symbol" w:hAnsi="Symbol" w:cs="Symbol" w:hint="default"/>
      </w:rPr>
    </w:lvl>
    <w:lvl w:ilvl="4" w:tplc="040C0003">
      <w:start w:val="1"/>
      <w:numFmt w:val="bullet"/>
      <w:lvlText w:val="o"/>
      <w:lvlJc w:val="left"/>
      <w:pPr>
        <w:tabs>
          <w:tab w:val="num" w:pos="3780"/>
        </w:tabs>
        <w:ind w:left="3780" w:hanging="360"/>
      </w:pPr>
      <w:rPr>
        <w:rFonts w:ascii="Courier New" w:hAnsi="Courier New" w:cs="Courier New" w:hint="default"/>
      </w:rPr>
    </w:lvl>
    <w:lvl w:ilvl="5" w:tplc="040C0005">
      <w:start w:val="1"/>
      <w:numFmt w:val="bullet"/>
      <w:lvlText w:val=""/>
      <w:lvlJc w:val="left"/>
      <w:pPr>
        <w:tabs>
          <w:tab w:val="num" w:pos="4500"/>
        </w:tabs>
        <w:ind w:left="4500" w:hanging="360"/>
      </w:pPr>
      <w:rPr>
        <w:rFonts w:ascii="Wingdings" w:hAnsi="Wingdings" w:cs="Wingdings" w:hint="default"/>
      </w:rPr>
    </w:lvl>
    <w:lvl w:ilvl="6" w:tplc="040C0001">
      <w:start w:val="1"/>
      <w:numFmt w:val="bullet"/>
      <w:lvlText w:val=""/>
      <w:lvlJc w:val="left"/>
      <w:pPr>
        <w:tabs>
          <w:tab w:val="num" w:pos="5220"/>
        </w:tabs>
        <w:ind w:left="5220" w:hanging="360"/>
      </w:pPr>
      <w:rPr>
        <w:rFonts w:ascii="Symbol" w:hAnsi="Symbol" w:cs="Symbol" w:hint="default"/>
      </w:rPr>
    </w:lvl>
    <w:lvl w:ilvl="7" w:tplc="040C0003">
      <w:start w:val="1"/>
      <w:numFmt w:val="bullet"/>
      <w:lvlText w:val="o"/>
      <w:lvlJc w:val="left"/>
      <w:pPr>
        <w:tabs>
          <w:tab w:val="num" w:pos="5940"/>
        </w:tabs>
        <w:ind w:left="5940" w:hanging="360"/>
      </w:pPr>
      <w:rPr>
        <w:rFonts w:ascii="Courier New" w:hAnsi="Courier New" w:cs="Courier New" w:hint="default"/>
      </w:rPr>
    </w:lvl>
    <w:lvl w:ilvl="8" w:tplc="040C0005">
      <w:start w:val="1"/>
      <w:numFmt w:val="bullet"/>
      <w:lvlText w:val=""/>
      <w:lvlJc w:val="left"/>
      <w:pPr>
        <w:tabs>
          <w:tab w:val="num" w:pos="6660"/>
        </w:tabs>
        <w:ind w:left="6660" w:hanging="360"/>
      </w:pPr>
      <w:rPr>
        <w:rFonts w:ascii="Wingdings" w:hAnsi="Wingdings" w:cs="Wingdings" w:hint="default"/>
      </w:rPr>
    </w:lvl>
  </w:abstractNum>
  <w:abstractNum w:abstractNumId="120">
    <w:nsid w:val="6D0D6641"/>
    <w:multiLevelType w:val="hybridMultilevel"/>
    <w:tmpl w:val="EEEEC30C"/>
    <w:lvl w:ilvl="0" w:tplc="7C4A944E">
      <w:start w:val="1"/>
      <w:numFmt w:val="decimal"/>
      <w:pStyle w:val="G5sec2b"/>
      <w:lvlText w:val="Graphique  5.2.%1b"/>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1">
    <w:nsid w:val="6D6C10E3"/>
    <w:multiLevelType w:val="hybridMultilevel"/>
    <w:tmpl w:val="BA44534A"/>
    <w:lvl w:ilvl="0" w:tplc="A65474B6">
      <w:start w:val="1"/>
      <w:numFmt w:val="decimal"/>
      <w:pStyle w:val="G5sec2a"/>
      <w:lvlText w:val="Graphique  5.2.%1a"/>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2">
    <w:nsid w:val="6DEC413D"/>
    <w:multiLevelType w:val="hybridMultilevel"/>
    <w:tmpl w:val="1F16D18E"/>
    <w:lvl w:ilvl="0" w:tplc="92AC6D3A">
      <w:start w:val="1"/>
      <w:numFmt w:val="lowerLetter"/>
      <w:pStyle w:val="T6sec3l"/>
      <w:lvlText w:val="Tableeau   6.3.1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3">
    <w:nsid w:val="6ECF42F3"/>
    <w:multiLevelType w:val="hybridMultilevel"/>
    <w:tmpl w:val="2F7E640A"/>
    <w:lvl w:ilvl="0" w:tplc="29A26EC0">
      <w:start w:val="1"/>
      <w:numFmt w:val="decimal"/>
      <w:pStyle w:val="T3sec5"/>
      <w:lvlText w:val="Tableau  3.5.%1"/>
      <w:lvlJc w:val="left"/>
      <w:pPr>
        <w:ind w:left="720" w:hanging="360"/>
      </w:pPr>
      <w:rPr>
        <w:rFonts w:hint="default"/>
        <w:b/>
        <w:bCs/>
        <w:i w:val="0"/>
        <w:iCs w:val="0"/>
        <w:sz w:val="24"/>
        <w:szCs w:val="24"/>
      </w:r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124">
    <w:nsid w:val="6F415FE6"/>
    <w:multiLevelType w:val="multilevel"/>
    <w:tmpl w:val="8A0A417A"/>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nsid w:val="71855A6B"/>
    <w:multiLevelType w:val="hybridMultilevel"/>
    <w:tmpl w:val="FE9091E6"/>
    <w:lvl w:ilvl="0" w:tplc="433E0172">
      <w:start w:val="1"/>
      <w:numFmt w:val="decimal"/>
      <w:pStyle w:val="G1sec3fin2"/>
      <w:lvlText w:val="Graphique  %1.3.2"/>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6">
    <w:nsid w:val="73902727"/>
    <w:multiLevelType w:val="multilevel"/>
    <w:tmpl w:val="F9526CDA"/>
    <w:lvl w:ilvl="0">
      <w:start w:val="3"/>
      <w:numFmt w:val="decimal"/>
      <w:lvlText w:val="%1."/>
      <w:lvlJc w:val="left"/>
      <w:pPr>
        <w:ind w:left="720" w:hanging="360"/>
      </w:pPr>
      <w:rPr>
        <w:rFonts w:hint="default"/>
        <w:caps/>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caps/>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74CB5DF3"/>
    <w:multiLevelType w:val="hybridMultilevel"/>
    <w:tmpl w:val="E9C4A172"/>
    <w:lvl w:ilvl="0" w:tplc="991C6BC0">
      <w:start w:val="1"/>
      <w:numFmt w:val="lowerLetter"/>
      <w:pStyle w:val="G5sec50"/>
      <w:lvlText w:val="Graphique 5.5'.1%1"/>
      <w:lvlJc w:val="left"/>
      <w:pPr>
        <w:ind w:left="720" w:hanging="360"/>
      </w:pPr>
      <w:rPr>
        <w:rFonts w:hint="default"/>
        <w:b/>
        <w:bCs/>
        <w:i w:val="0"/>
        <w:iCs w:val="0"/>
        <w:sz w:val="24"/>
        <w:szCs w:val="24"/>
      </w:rPr>
    </w:lvl>
    <w:lvl w:ilvl="1" w:tplc="4266B170">
      <w:start w:val="1"/>
      <w:numFmt w:val="lowerLetter"/>
      <w:lvlText w:val="%2."/>
      <w:lvlJc w:val="left"/>
      <w:pPr>
        <w:ind w:left="1440" w:hanging="360"/>
      </w:pPr>
    </w:lvl>
    <w:lvl w:ilvl="2" w:tplc="B5A2BD6A">
      <w:start w:val="1"/>
      <w:numFmt w:val="lowerRoman"/>
      <w:lvlText w:val="%3."/>
      <w:lvlJc w:val="right"/>
      <w:pPr>
        <w:ind w:left="2160" w:hanging="180"/>
      </w:pPr>
    </w:lvl>
    <w:lvl w:ilvl="3" w:tplc="14ECF49A">
      <w:start w:val="1"/>
      <w:numFmt w:val="decimal"/>
      <w:lvlText w:val="%4."/>
      <w:lvlJc w:val="left"/>
      <w:pPr>
        <w:ind w:left="2880" w:hanging="360"/>
      </w:pPr>
    </w:lvl>
    <w:lvl w:ilvl="4" w:tplc="7A2C8754">
      <w:start w:val="1"/>
      <w:numFmt w:val="lowerLetter"/>
      <w:lvlText w:val="%5."/>
      <w:lvlJc w:val="left"/>
      <w:pPr>
        <w:ind w:left="3600" w:hanging="360"/>
      </w:pPr>
    </w:lvl>
    <w:lvl w:ilvl="5" w:tplc="47EC89AC">
      <w:start w:val="1"/>
      <w:numFmt w:val="lowerRoman"/>
      <w:lvlText w:val="%6."/>
      <w:lvlJc w:val="right"/>
      <w:pPr>
        <w:ind w:left="4320" w:hanging="180"/>
      </w:pPr>
    </w:lvl>
    <w:lvl w:ilvl="6" w:tplc="EEF6E644">
      <w:start w:val="1"/>
      <w:numFmt w:val="decimal"/>
      <w:lvlText w:val="%7."/>
      <w:lvlJc w:val="left"/>
      <w:pPr>
        <w:ind w:left="5040" w:hanging="360"/>
      </w:pPr>
    </w:lvl>
    <w:lvl w:ilvl="7" w:tplc="8062BA26">
      <w:start w:val="1"/>
      <w:numFmt w:val="lowerLetter"/>
      <w:lvlText w:val="%8."/>
      <w:lvlJc w:val="left"/>
      <w:pPr>
        <w:ind w:left="5760" w:hanging="360"/>
      </w:pPr>
    </w:lvl>
    <w:lvl w:ilvl="8" w:tplc="F3327614">
      <w:start w:val="1"/>
      <w:numFmt w:val="lowerRoman"/>
      <w:lvlText w:val="%9."/>
      <w:lvlJc w:val="right"/>
      <w:pPr>
        <w:ind w:left="6480" w:hanging="180"/>
      </w:pPr>
    </w:lvl>
  </w:abstractNum>
  <w:abstractNum w:abstractNumId="128">
    <w:nsid w:val="76450ADE"/>
    <w:multiLevelType w:val="hybridMultilevel"/>
    <w:tmpl w:val="14902BC6"/>
    <w:lvl w:ilvl="0" w:tplc="2BAE3426">
      <w:start w:val="1"/>
      <w:numFmt w:val="decimal"/>
      <w:pStyle w:val="T1sec3"/>
      <w:lvlText w:val="Tableau  1.3.%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9">
    <w:nsid w:val="778A43DD"/>
    <w:multiLevelType w:val="hybridMultilevel"/>
    <w:tmpl w:val="27A8AAF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0">
    <w:nsid w:val="782C7102"/>
    <w:multiLevelType w:val="multilevel"/>
    <w:tmpl w:val="E8FEF636"/>
    <w:lvl w:ilvl="0">
      <w:start w:val="1"/>
      <w:numFmt w:val="bullet"/>
      <w:lvlText w:val=""/>
      <w:lvlJc w:val="left"/>
      <w:pPr>
        <w:tabs>
          <w:tab w:val="num" w:pos="360"/>
        </w:tabs>
        <w:ind w:left="360" w:hanging="360"/>
      </w:pPr>
      <w:rPr>
        <w:rFonts w:ascii="Symbol" w:hAnsi="Symbol" w:cs="Symbol" w:hint="default"/>
        <w:sz w:val="20"/>
        <w:szCs w:val="20"/>
      </w:rPr>
    </w:lvl>
    <w:lvl w:ilvl="1">
      <w:start w:val="2"/>
      <w:numFmt w:val="bullet"/>
      <w:lvlText w:val="-"/>
      <w:lvlJc w:val="left"/>
      <w:pPr>
        <w:ind w:left="1080" w:hanging="360"/>
      </w:pPr>
      <w:rPr>
        <w:rFonts w:ascii="Tw Cen MT" w:eastAsia="Times New Roman" w:hAnsi="Tw Cen MT" w:hint="default"/>
        <w:b w:val="0"/>
        <w:bCs w:val="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31">
    <w:nsid w:val="78FD5256"/>
    <w:multiLevelType w:val="hybridMultilevel"/>
    <w:tmpl w:val="E05A68D2"/>
    <w:lvl w:ilvl="0" w:tplc="578AB276">
      <w:start w:val="1"/>
      <w:numFmt w:val="lowerLetter"/>
      <w:pStyle w:val="T5sec2b0"/>
      <w:lvlText w:val="Tableau   5.2.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2">
    <w:nsid w:val="79D813E1"/>
    <w:multiLevelType w:val="hybridMultilevel"/>
    <w:tmpl w:val="8BCCB28A"/>
    <w:lvl w:ilvl="0" w:tplc="D6E21C34">
      <w:start w:val="1"/>
      <w:numFmt w:val="decimal"/>
      <w:pStyle w:val="T4sec1a"/>
      <w:lvlText w:val="Tableau  4.1.%1a"/>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3">
    <w:nsid w:val="7A1D09E8"/>
    <w:multiLevelType w:val="multilevel"/>
    <w:tmpl w:val="E2F44FFA"/>
    <w:lvl w:ilvl="0">
      <w:start w:val="3"/>
      <w:numFmt w:val="none"/>
      <w:lvlText w:val="4.2."/>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nsid w:val="7ABC623B"/>
    <w:multiLevelType w:val="multilevel"/>
    <w:tmpl w:val="898C6028"/>
    <w:lvl w:ilvl="0">
      <w:start w:val="1"/>
      <w:numFmt w:val="none"/>
      <w:lvlText w:val="5.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
    <w:nsid w:val="7ADB0369"/>
    <w:multiLevelType w:val="hybridMultilevel"/>
    <w:tmpl w:val="C902F7CC"/>
    <w:lvl w:ilvl="0" w:tplc="76BEBD12">
      <w:start w:val="1"/>
      <w:numFmt w:val="lowerLetter"/>
      <w:pStyle w:val="T6sec3b"/>
      <w:lvlText w:val="Tableeau   6.3.2%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6">
    <w:nsid w:val="7BE261E5"/>
    <w:multiLevelType w:val="multilevel"/>
    <w:tmpl w:val="FC04E9EE"/>
    <w:lvl w:ilvl="0">
      <w:start w:val="3"/>
      <w:numFmt w:val="none"/>
      <w:lvlText w:val="4.2."/>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7">
    <w:nsid w:val="7DA03CA5"/>
    <w:multiLevelType w:val="hybridMultilevel"/>
    <w:tmpl w:val="70C017EE"/>
    <w:lvl w:ilvl="0" w:tplc="42365D04">
      <w:start w:val="1"/>
      <w:numFmt w:val="lowerLetter"/>
      <w:pStyle w:val="T6sec1d"/>
      <w:lvlText w:val="Tableau 6.1.4%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8">
    <w:nsid w:val="7E7818D1"/>
    <w:multiLevelType w:val="hybridMultilevel"/>
    <w:tmpl w:val="14A2EDD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39">
    <w:nsid w:val="7F23242E"/>
    <w:multiLevelType w:val="hybridMultilevel"/>
    <w:tmpl w:val="A872AA70"/>
    <w:lvl w:ilvl="0" w:tplc="344805AC">
      <w:start w:val="1"/>
      <w:numFmt w:val="lowerLetter"/>
      <w:pStyle w:val="A2d"/>
      <w:lvlText w:val="Annexe 6.3.11%1"/>
      <w:lvlJc w:val="left"/>
      <w:pPr>
        <w:ind w:left="2520" w:hanging="360"/>
      </w:pPr>
      <w:rPr>
        <w:rFonts w:hint="default"/>
        <w:b/>
        <w:bCs/>
        <w:i/>
        <w:iCs/>
        <w:sz w:val="24"/>
        <w:szCs w:val="24"/>
      </w:rPr>
    </w:lvl>
    <w:lvl w:ilvl="1" w:tplc="040C0019">
      <w:start w:val="1"/>
      <w:numFmt w:val="lowerLetter"/>
      <w:lvlText w:val="%2."/>
      <w:lvlJc w:val="left"/>
      <w:pPr>
        <w:ind w:left="3240" w:hanging="360"/>
      </w:pPr>
    </w:lvl>
    <w:lvl w:ilvl="2" w:tplc="040C001B">
      <w:start w:val="1"/>
      <w:numFmt w:val="lowerRoman"/>
      <w:lvlText w:val="%3."/>
      <w:lvlJc w:val="right"/>
      <w:pPr>
        <w:ind w:left="3960" w:hanging="180"/>
      </w:pPr>
    </w:lvl>
    <w:lvl w:ilvl="3" w:tplc="040C000F">
      <w:start w:val="1"/>
      <w:numFmt w:val="decimal"/>
      <w:lvlText w:val="%4."/>
      <w:lvlJc w:val="left"/>
      <w:pPr>
        <w:ind w:left="4680" w:hanging="360"/>
      </w:pPr>
    </w:lvl>
    <w:lvl w:ilvl="4" w:tplc="040C0019">
      <w:start w:val="1"/>
      <w:numFmt w:val="lowerLetter"/>
      <w:lvlText w:val="%5."/>
      <w:lvlJc w:val="left"/>
      <w:pPr>
        <w:ind w:left="5400" w:hanging="360"/>
      </w:pPr>
    </w:lvl>
    <w:lvl w:ilvl="5" w:tplc="040C001B">
      <w:start w:val="1"/>
      <w:numFmt w:val="lowerRoman"/>
      <w:lvlText w:val="%6."/>
      <w:lvlJc w:val="right"/>
      <w:pPr>
        <w:ind w:left="6120" w:hanging="180"/>
      </w:pPr>
    </w:lvl>
    <w:lvl w:ilvl="6" w:tplc="040C000F">
      <w:start w:val="1"/>
      <w:numFmt w:val="decimal"/>
      <w:lvlText w:val="%7."/>
      <w:lvlJc w:val="left"/>
      <w:pPr>
        <w:ind w:left="6840" w:hanging="360"/>
      </w:pPr>
    </w:lvl>
    <w:lvl w:ilvl="7" w:tplc="040C0019">
      <w:start w:val="1"/>
      <w:numFmt w:val="lowerLetter"/>
      <w:lvlText w:val="%8."/>
      <w:lvlJc w:val="left"/>
      <w:pPr>
        <w:ind w:left="7560" w:hanging="360"/>
      </w:pPr>
    </w:lvl>
    <w:lvl w:ilvl="8" w:tplc="040C001B">
      <w:start w:val="1"/>
      <w:numFmt w:val="lowerRoman"/>
      <w:lvlText w:val="%9."/>
      <w:lvlJc w:val="right"/>
      <w:pPr>
        <w:ind w:left="8280" w:hanging="180"/>
      </w:pPr>
    </w:lvl>
  </w:abstractNum>
  <w:abstractNum w:abstractNumId="140">
    <w:nsid w:val="7F483C72"/>
    <w:multiLevelType w:val="hybridMultilevel"/>
    <w:tmpl w:val="80CEFD68"/>
    <w:lvl w:ilvl="0" w:tplc="F91A1A6A">
      <w:start w:val="1"/>
      <w:numFmt w:val="decimal"/>
      <w:pStyle w:val="G3sec4"/>
      <w:lvlText w:val="Graphique  3.4.%1"/>
      <w:lvlJc w:val="left"/>
      <w:pPr>
        <w:ind w:left="720" w:hanging="360"/>
      </w:pPr>
      <w:rPr>
        <w:rFonts w:hint="default"/>
        <w:b/>
        <w:bCs/>
        <w:i w:val="0"/>
        <w:iCs w:val="0"/>
        <w:sz w:val="24"/>
        <w:szCs w:val="24"/>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30"/>
  </w:num>
  <w:num w:numId="2">
    <w:abstractNumId w:val="59"/>
  </w:num>
  <w:num w:numId="3">
    <w:abstractNumId w:val="20"/>
  </w:num>
  <w:num w:numId="4">
    <w:abstractNumId w:val="3"/>
  </w:num>
  <w:num w:numId="5">
    <w:abstractNumId w:val="137"/>
  </w:num>
  <w:num w:numId="6">
    <w:abstractNumId w:val="118"/>
  </w:num>
  <w:num w:numId="7">
    <w:abstractNumId w:val="19"/>
  </w:num>
  <w:num w:numId="8">
    <w:abstractNumId w:val="15"/>
  </w:num>
  <w:num w:numId="9">
    <w:abstractNumId w:val="96"/>
  </w:num>
  <w:num w:numId="10">
    <w:abstractNumId w:val="82"/>
  </w:num>
  <w:num w:numId="11">
    <w:abstractNumId w:val="29"/>
  </w:num>
  <w:num w:numId="12">
    <w:abstractNumId w:val="128"/>
  </w:num>
  <w:num w:numId="13">
    <w:abstractNumId w:val="47"/>
  </w:num>
  <w:num w:numId="14">
    <w:abstractNumId w:val="63"/>
  </w:num>
  <w:num w:numId="15">
    <w:abstractNumId w:val="33"/>
  </w:num>
  <w:num w:numId="16">
    <w:abstractNumId w:val="48"/>
  </w:num>
  <w:num w:numId="17">
    <w:abstractNumId w:val="103"/>
  </w:num>
  <w:num w:numId="18">
    <w:abstractNumId w:val="66"/>
  </w:num>
  <w:num w:numId="19">
    <w:abstractNumId w:val="88"/>
  </w:num>
  <w:num w:numId="20">
    <w:abstractNumId w:val="41"/>
  </w:num>
  <w:num w:numId="21">
    <w:abstractNumId w:val="87"/>
  </w:num>
  <w:num w:numId="22">
    <w:abstractNumId w:val="140"/>
  </w:num>
  <w:num w:numId="23">
    <w:abstractNumId w:val="123"/>
  </w:num>
  <w:num w:numId="24">
    <w:abstractNumId w:val="132"/>
  </w:num>
  <w:num w:numId="25">
    <w:abstractNumId w:val="11"/>
  </w:num>
  <w:num w:numId="26">
    <w:abstractNumId w:val="23"/>
  </w:num>
  <w:num w:numId="27">
    <w:abstractNumId w:val="35"/>
  </w:num>
  <w:num w:numId="28">
    <w:abstractNumId w:val="42"/>
  </w:num>
  <w:num w:numId="29">
    <w:abstractNumId w:val="125"/>
  </w:num>
  <w:num w:numId="30">
    <w:abstractNumId w:val="37"/>
  </w:num>
  <w:num w:numId="31">
    <w:abstractNumId w:val="135"/>
  </w:num>
  <w:num w:numId="32">
    <w:abstractNumId w:val="12"/>
  </w:num>
  <w:num w:numId="33">
    <w:abstractNumId w:val="54"/>
  </w:num>
  <w:num w:numId="34">
    <w:abstractNumId w:val="94"/>
  </w:num>
  <w:num w:numId="35">
    <w:abstractNumId w:val="70"/>
  </w:num>
  <w:num w:numId="36">
    <w:abstractNumId w:val="73"/>
  </w:num>
  <w:num w:numId="37">
    <w:abstractNumId w:val="104"/>
  </w:num>
  <w:num w:numId="38">
    <w:abstractNumId w:val="98"/>
  </w:num>
  <w:num w:numId="39">
    <w:abstractNumId w:val="90"/>
  </w:num>
  <w:num w:numId="40">
    <w:abstractNumId w:val="108"/>
  </w:num>
  <w:num w:numId="41">
    <w:abstractNumId w:val="122"/>
  </w:num>
  <w:num w:numId="42">
    <w:abstractNumId w:val="46"/>
  </w:num>
  <w:num w:numId="43">
    <w:abstractNumId w:val="106"/>
  </w:num>
  <w:num w:numId="44">
    <w:abstractNumId w:val="95"/>
  </w:num>
  <w:num w:numId="45">
    <w:abstractNumId w:val="31"/>
  </w:num>
  <w:num w:numId="46">
    <w:abstractNumId w:val="110"/>
  </w:num>
  <w:num w:numId="47">
    <w:abstractNumId w:val="24"/>
  </w:num>
  <w:num w:numId="48">
    <w:abstractNumId w:val="131"/>
  </w:num>
  <w:num w:numId="49">
    <w:abstractNumId w:val="28"/>
  </w:num>
  <w:num w:numId="50">
    <w:abstractNumId w:val="120"/>
  </w:num>
  <w:num w:numId="51">
    <w:abstractNumId w:val="2"/>
  </w:num>
  <w:num w:numId="52">
    <w:abstractNumId w:val="16"/>
  </w:num>
  <w:num w:numId="53">
    <w:abstractNumId w:val="117"/>
  </w:num>
  <w:num w:numId="54">
    <w:abstractNumId w:val="52"/>
  </w:num>
  <w:num w:numId="55">
    <w:abstractNumId w:val="50"/>
  </w:num>
  <w:num w:numId="56">
    <w:abstractNumId w:val="121"/>
  </w:num>
  <w:num w:numId="57">
    <w:abstractNumId w:val="51"/>
  </w:num>
  <w:num w:numId="58">
    <w:abstractNumId w:val="13"/>
  </w:num>
  <w:num w:numId="59">
    <w:abstractNumId w:val="127"/>
  </w:num>
  <w:num w:numId="60">
    <w:abstractNumId w:val="21"/>
  </w:num>
  <w:num w:numId="61">
    <w:abstractNumId w:val="81"/>
  </w:num>
  <w:num w:numId="62">
    <w:abstractNumId w:val="0"/>
  </w:num>
  <w:num w:numId="63">
    <w:abstractNumId w:val="43"/>
  </w:num>
  <w:num w:numId="64">
    <w:abstractNumId w:val="9"/>
  </w:num>
  <w:num w:numId="65">
    <w:abstractNumId w:val="57"/>
  </w:num>
  <w:num w:numId="66">
    <w:abstractNumId w:val="105"/>
  </w:num>
  <w:num w:numId="67">
    <w:abstractNumId w:val="76"/>
  </w:num>
  <w:num w:numId="68">
    <w:abstractNumId w:val="44"/>
  </w:num>
  <w:num w:numId="69">
    <w:abstractNumId w:val="91"/>
  </w:num>
  <w:num w:numId="70">
    <w:abstractNumId w:val="139"/>
  </w:num>
  <w:num w:numId="71">
    <w:abstractNumId w:val="67"/>
  </w:num>
  <w:num w:numId="72">
    <w:abstractNumId w:val="5"/>
  </w:num>
  <w:num w:numId="73">
    <w:abstractNumId w:val="126"/>
  </w:num>
  <w:num w:numId="74">
    <w:abstractNumId w:val="69"/>
  </w:num>
  <w:num w:numId="75">
    <w:abstractNumId w:val="4"/>
  </w:num>
  <w:num w:numId="76">
    <w:abstractNumId w:val="58"/>
  </w:num>
  <w:num w:numId="77">
    <w:abstractNumId w:val="114"/>
  </w:num>
  <w:num w:numId="78">
    <w:abstractNumId w:val="86"/>
  </w:num>
  <w:num w:numId="79">
    <w:abstractNumId w:val="124"/>
  </w:num>
  <w:num w:numId="80">
    <w:abstractNumId w:val="39"/>
  </w:num>
  <w:num w:numId="81">
    <w:abstractNumId w:val="53"/>
  </w:num>
  <w:num w:numId="82">
    <w:abstractNumId w:val="119"/>
  </w:num>
  <w:num w:numId="83">
    <w:abstractNumId w:val="79"/>
  </w:num>
  <w:num w:numId="84">
    <w:abstractNumId w:val="116"/>
  </w:num>
  <w:num w:numId="85">
    <w:abstractNumId w:val="84"/>
  </w:num>
  <w:num w:numId="86">
    <w:abstractNumId w:val="136"/>
  </w:num>
  <w:num w:numId="87">
    <w:abstractNumId w:val="32"/>
  </w:num>
  <w:num w:numId="88">
    <w:abstractNumId w:val="18"/>
  </w:num>
  <w:num w:numId="89">
    <w:abstractNumId w:val="27"/>
  </w:num>
  <w:num w:numId="90">
    <w:abstractNumId w:val="14"/>
  </w:num>
  <w:num w:numId="91">
    <w:abstractNumId w:val="133"/>
  </w:num>
  <w:num w:numId="92">
    <w:abstractNumId w:val="1"/>
  </w:num>
  <w:num w:numId="93">
    <w:abstractNumId w:val="77"/>
  </w:num>
  <w:num w:numId="94">
    <w:abstractNumId w:val="89"/>
  </w:num>
  <w:num w:numId="95">
    <w:abstractNumId w:val="64"/>
  </w:num>
  <w:num w:numId="96">
    <w:abstractNumId w:val="115"/>
  </w:num>
  <w:num w:numId="97">
    <w:abstractNumId w:val="129"/>
  </w:num>
  <w:num w:numId="98">
    <w:abstractNumId w:val="22"/>
  </w:num>
  <w:num w:numId="99">
    <w:abstractNumId w:val="6"/>
  </w:num>
  <w:num w:numId="100">
    <w:abstractNumId w:val="85"/>
  </w:num>
  <w:num w:numId="101">
    <w:abstractNumId w:val="107"/>
  </w:num>
  <w:num w:numId="102">
    <w:abstractNumId w:val="93"/>
  </w:num>
  <w:num w:numId="103">
    <w:abstractNumId w:val="10"/>
  </w:num>
  <w:num w:numId="104">
    <w:abstractNumId w:val="74"/>
  </w:num>
  <w:num w:numId="105">
    <w:abstractNumId w:val="134"/>
  </w:num>
  <w:num w:numId="106">
    <w:abstractNumId w:val="65"/>
  </w:num>
  <w:num w:numId="107">
    <w:abstractNumId w:val="101"/>
  </w:num>
  <w:num w:numId="108">
    <w:abstractNumId w:val="8"/>
  </w:num>
  <w:num w:numId="109">
    <w:abstractNumId w:val="80"/>
  </w:num>
  <w:num w:numId="110">
    <w:abstractNumId w:val="61"/>
  </w:num>
  <w:num w:numId="111">
    <w:abstractNumId w:val="17"/>
  </w:num>
  <w:num w:numId="112">
    <w:abstractNumId w:val="26"/>
  </w:num>
  <w:num w:numId="113">
    <w:abstractNumId w:val="68"/>
  </w:num>
  <w:num w:numId="114">
    <w:abstractNumId w:val="49"/>
  </w:num>
  <w:num w:numId="115">
    <w:abstractNumId w:val="75"/>
  </w:num>
  <w:num w:numId="116">
    <w:abstractNumId w:val="112"/>
  </w:num>
  <w:num w:numId="117">
    <w:abstractNumId w:val="38"/>
  </w:num>
  <w:num w:numId="118">
    <w:abstractNumId w:val="78"/>
  </w:num>
  <w:num w:numId="119">
    <w:abstractNumId w:val="138"/>
  </w:num>
  <w:num w:numId="120">
    <w:abstractNumId w:val="25"/>
  </w:num>
  <w:num w:numId="121">
    <w:abstractNumId w:val="92"/>
  </w:num>
  <w:num w:numId="122">
    <w:abstractNumId w:val="83"/>
  </w:num>
  <w:num w:numId="123">
    <w:abstractNumId w:val="55"/>
  </w:num>
  <w:num w:numId="124">
    <w:abstractNumId w:val="60"/>
  </w:num>
  <w:num w:numId="125">
    <w:abstractNumId w:val="45"/>
  </w:num>
  <w:num w:numId="126">
    <w:abstractNumId w:val="72"/>
  </w:num>
  <w:num w:numId="127">
    <w:abstractNumId w:val="56"/>
  </w:num>
  <w:num w:numId="128">
    <w:abstractNumId w:val="34"/>
  </w:num>
  <w:num w:numId="129">
    <w:abstractNumId w:val="113"/>
  </w:num>
  <w:num w:numId="130">
    <w:abstractNumId w:val="40"/>
  </w:num>
  <w:num w:numId="131">
    <w:abstractNumId w:val="111"/>
  </w:num>
  <w:num w:numId="132">
    <w:abstractNumId w:val="99"/>
  </w:num>
  <w:num w:numId="133">
    <w:abstractNumId w:val="30"/>
  </w:num>
  <w:num w:numId="134">
    <w:abstractNumId w:val="109"/>
  </w:num>
  <w:num w:numId="135">
    <w:abstractNumId w:val="7"/>
  </w:num>
  <w:num w:numId="136">
    <w:abstractNumId w:val="97"/>
  </w:num>
  <w:num w:numId="137">
    <w:abstractNumId w:val="36"/>
  </w:num>
  <w:num w:numId="138">
    <w:abstractNumId w:val="102"/>
  </w:num>
  <w:num w:numId="139">
    <w:abstractNumId w:val="71"/>
  </w:num>
  <w:num w:numId="140">
    <w:abstractNumId w:val="62"/>
  </w:num>
  <w:num w:numId="141">
    <w:abstractNumId w:val="100"/>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savePreviewPicture/>
  <w:doNotValidateAgainstSchema/>
  <w:doNotDemarcateInvalidXml/>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p90rxe0lfwt04ewwrups2vqpf2xffxfw022&quot;&gt;_basePaleo&lt;record-ids&gt;&lt;item&gt;474&lt;/item&gt;&lt;item&gt;827&lt;/item&gt;&lt;item&gt;971&lt;/item&gt;&lt;item&gt;1173&lt;/item&gt;&lt;item&gt;1231&lt;/item&gt;&lt;item&gt;1310&lt;/item&gt;&lt;item&gt;1342&lt;/item&gt;&lt;item&gt;1429&lt;/item&gt;&lt;item&gt;1630&lt;/item&gt;&lt;item&gt;1633&lt;/item&gt;&lt;item&gt;1634&lt;/item&gt;&lt;item&gt;1647&lt;/item&gt;&lt;item&gt;1648&lt;/item&gt;&lt;item&gt;1649&lt;/item&gt;&lt;item&gt;1650&lt;/item&gt;&lt;item&gt;1653&lt;/item&gt;&lt;item&gt;1654&lt;/item&gt;&lt;item&gt;1655&lt;/item&gt;&lt;item&gt;1656&lt;/item&gt;&lt;item&gt;1657&lt;/item&gt;&lt;item&gt;1660&lt;/item&gt;&lt;item&gt;1662&lt;/item&gt;&lt;item&gt;1667&lt;/item&gt;&lt;item&gt;1668&lt;/item&gt;&lt;item&gt;1669&lt;/item&gt;&lt;item&gt;1670&lt;/item&gt;&lt;item&gt;1671&lt;/item&gt;&lt;item&gt;1673&lt;/item&gt;&lt;item&gt;1674&lt;/item&gt;&lt;item&gt;1675&lt;/item&gt;&lt;item&gt;1682&lt;/item&gt;&lt;item&gt;1683&lt;/item&gt;&lt;item&gt;1685&lt;/item&gt;&lt;item&gt;1686&lt;/item&gt;&lt;item&gt;1690&lt;/item&gt;&lt;item&gt;1694&lt;/item&gt;&lt;item&gt;1696&lt;/item&gt;&lt;item&gt;1698&lt;/item&gt;&lt;item&gt;1699&lt;/item&gt;&lt;item&gt;1702&lt;/item&gt;&lt;item&gt;1704&lt;/item&gt;&lt;item&gt;1705&lt;/item&gt;&lt;item&gt;1706&lt;/item&gt;&lt;item&gt;1707&lt;/item&gt;&lt;item&gt;1708&lt;/item&gt;&lt;/record-ids&gt;&lt;/item&gt;&lt;/Libraries&gt;"/>
  </w:docVars>
  <w:rsids>
    <w:rsidRoot w:val="00866D97"/>
    <w:rsid w:val="00003945"/>
    <w:rsid w:val="00004210"/>
    <w:rsid w:val="000043C9"/>
    <w:rsid w:val="00006F0E"/>
    <w:rsid w:val="00007AFF"/>
    <w:rsid w:val="00010A31"/>
    <w:rsid w:val="00012B11"/>
    <w:rsid w:val="00012B2D"/>
    <w:rsid w:val="0001587C"/>
    <w:rsid w:val="00015CCF"/>
    <w:rsid w:val="00022FFA"/>
    <w:rsid w:val="000232A8"/>
    <w:rsid w:val="00030561"/>
    <w:rsid w:val="00030CFF"/>
    <w:rsid w:val="00031E04"/>
    <w:rsid w:val="0003295E"/>
    <w:rsid w:val="00041B4C"/>
    <w:rsid w:val="000423CE"/>
    <w:rsid w:val="00043CFD"/>
    <w:rsid w:val="000473CD"/>
    <w:rsid w:val="000502D6"/>
    <w:rsid w:val="00053E72"/>
    <w:rsid w:val="00054A4F"/>
    <w:rsid w:val="00056DAD"/>
    <w:rsid w:val="00057BCB"/>
    <w:rsid w:val="000600C8"/>
    <w:rsid w:val="000676F3"/>
    <w:rsid w:val="000678C4"/>
    <w:rsid w:val="00074826"/>
    <w:rsid w:val="00077D14"/>
    <w:rsid w:val="00080A76"/>
    <w:rsid w:val="00081E8B"/>
    <w:rsid w:val="00082492"/>
    <w:rsid w:val="00082A4B"/>
    <w:rsid w:val="00082B2F"/>
    <w:rsid w:val="000831CC"/>
    <w:rsid w:val="00083780"/>
    <w:rsid w:val="00091085"/>
    <w:rsid w:val="0009203F"/>
    <w:rsid w:val="0009368B"/>
    <w:rsid w:val="000938A2"/>
    <w:rsid w:val="00094FA9"/>
    <w:rsid w:val="00095A36"/>
    <w:rsid w:val="000975FB"/>
    <w:rsid w:val="00097ED0"/>
    <w:rsid w:val="000A122E"/>
    <w:rsid w:val="000A2260"/>
    <w:rsid w:val="000A2726"/>
    <w:rsid w:val="000A291A"/>
    <w:rsid w:val="000A2B1A"/>
    <w:rsid w:val="000A6219"/>
    <w:rsid w:val="000A658F"/>
    <w:rsid w:val="000B0799"/>
    <w:rsid w:val="000B0F34"/>
    <w:rsid w:val="000B246D"/>
    <w:rsid w:val="000B477A"/>
    <w:rsid w:val="000B5D5F"/>
    <w:rsid w:val="000B62F3"/>
    <w:rsid w:val="000B67F5"/>
    <w:rsid w:val="000C0FC2"/>
    <w:rsid w:val="000C2F25"/>
    <w:rsid w:val="000C3386"/>
    <w:rsid w:val="000C4C3A"/>
    <w:rsid w:val="000C64C4"/>
    <w:rsid w:val="000D0B06"/>
    <w:rsid w:val="000D3739"/>
    <w:rsid w:val="000D6E01"/>
    <w:rsid w:val="000E2CD5"/>
    <w:rsid w:val="000E495E"/>
    <w:rsid w:val="000E5A6E"/>
    <w:rsid w:val="000E67D9"/>
    <w:rsid w:val="000F042F"/>
    <w:rsid w:val="000F58F5"/>
    <w:rsid w:val="000F6FDD"/>
    <w:rsid w:val="000F76C7"/>
    <w:rsid w:val="00101244"/>
    <w:rsid w:val="00104FB7"/>
    <w:rsid w:val="00105BA4"/>
    <w:rsid w:val="0010776E"/>
    <w:rsid w:val="001101FE"/>
    <w:rsid w:val="00112804"/>
    <w:rsid w:val="00113650"/>
    <w:rsid w:val="00113CA8"/>
    <w:rsid w:val="00116899"/>
    <w:rsid w:val="00123C31"/>
    <w:rsid w:val="001251FF"/>
    <w:rsid w:val="00131A44"/>
    <w:rsid w:val="00131D22"/>
    <w:rsid w:val="00132452"/>
    <w:rsid w:val="001409C8"/>
    <w:rsid w:val="001435B6"/>
    <w:rsid w:val="00145540"/>
    <w:rsid w:val="00147638"/>
    <w:rsid w:val="00154296"/>
    <w:rsid w:val="001560F8"/>
    <w:rsid w:val="00156BE8"/>
    <w:rsid w:val="00157356"/>
    <w:rsid w:val="001608AC"/>
    <w:rsid w:val="00161345"/>
    <w:rsid w:val="00161B47"/>
    <w:rsid w:val="00163A41"/>
    <w:rsid w:val="001650CA"/>
    <w:rsid w:val="001661AA"/>
    <w:rsid w:val="0016681F"/>
    <w:rsid w:val="001734C6"/>
    <w:rsid w:val="001737FA"/>
    <w:rsid w:val="00173AEE"/>
    <w:rsid w:val="00176B72"/>
    <w:rsid w:val="00176C50"/>
    <w:rsid w:val="0017730F"/>
    <w:rsid w:val="00180C79"/>
    <w:rsid w:val="00181502"/>
    <w:rsid w:val="00187257"/>
    <w:rsid w:val="0018726B"/>
    <w:rsid w:val="00190BA6"/>
    <w:rsid w:val="00191178"/>
    <w:rsid w:val="00192FDA"/>
    <w:rsid w:val="00194C60"/>
    <w:rsid w:val="0019679C"/>
    <w:rsid w:val="001A1209"/>
    <w:rsid w:val="001A3604"/>
    <w:rsid w:val="001A42BA"/>
    <w:rsid w:val="001A43EC"/>
    <w:rsid w:val="001A593B"/>
    <w:rsid w:val="001B06FC"/>
    <w:rsid w:val="001B0E78"/>
    <w:rsid w:val="001B332C"/>
    <w:rsid w:val="001B34B1"/>
    <w:rsid w:val="001B3754"/>
    <w:rsid w:val="001B42C2"/>
    <w:rsid w:val="001B585D"/>
    <w:rsid w:val="001B60F7"/>
    <w:rsid w:val="001B6E55"/>
    <w:rsid w:val="001C0BF3"/>
    <w:rsid w:val="001C2538"/>
    <w:rsid w:val="001C47CE"/>
    <w:rsid w:val="001C64EC"/>
    <w:rsid w:val="001C6510"/>
    <w:rsid w:val="001C6E06"/>
    <w:rsid w:val="001D39F2"/>
    <w:rsid w:val="001E3B8E"/>
    <w:rsid w:val="001E59D8"/>
    <w:rsid w:val="001E5B49"/>
    <w:rsid w:val="001F027A"/>
    <w:rsid w:val="001F14BC"/>
    <w:rsid w:val="001F2F22"/>
    <w:rsid w:val="001F6330"/>
    <w:rsid w:val="001F678B"/>
    <w:rsid w:val="00201668"/>
    <w:rsid w:val="00201DA9"/>
    <w:rsid w:val="002034BF"/>
    <w:rsid w:val="00204AB8"/>
    <w:rsid w:val="00204D87"/>
    <w:rsid w:val="002125C3"/>
    <w:rsid w:val="0021298E"/>
    <w:rsid w:val="00216C35"/>
    <w:rsid w:val="00217E87"/>
    <w:rsid w:val="00221D71"/>
    <w:rsid w:val="00226C36"/>
    <w:rsid w:val="002433BD"/>
    <w:rsid w:val="00243DEB"/>
    <w:rsid w:val="002441B9"/>
    <w:rsid w:val="0024523B"/>
    <w:rsid w:val="0024686D"/>
    <w:rsid w:val="002526A2"/>
    <w:rsid w:val="00253B21"/>
    <w:rsid w:val="002557FE"/>
    <w:rsid w:val="00260C74"/>
    <w:rsid w:val="002636CD"/>
    <w:rsid w:val="00263D13"/>
    <w:rsid w:val="00270965"/>
    <w:rsid w:val="00274B60"/>
    <w:rsid w:val="00274EBC"/>
    <w:rsid w:val="002770B5"/>
    <w:rsid w:val="00280AD8"/>
    <w:rsid w:val="00281E9B"/>
    <w:rsid w:val="002836E5"/>
    <w:rsid w:val="002850AA"/>
    <w:rsid w:val="00295074"/>
    <w:rsid w:val="00296A58"/>
    <w:rsid w:val="002972ED"/>
    <w:rsid w:val="00297D31"/>
    <w:rsid w:val="002A1E7C"/>
    <w:rsid w:val="002A2C81"/>
    <w:rsid w:val="002A7FEE"/>
    <w:rsid w:val="002B6037"/>
    <w:rsid w:val="002B645F"/>
    <w:rsid w:val="002B6FAB"/>
    <w:rsid w:val="002C02A8"/>
    <w:rsid w:val="002C03F1"/>
    <w:rsid w:val="002C0FB7"/>
    <w:rsid w:val="002C1162"/>
    <w:rsid w:val="002D24C2"/>
    <w:rsid w:val="002E11CA"/>
    <w:rsid w:val="002E2A44"/>
    <w:rsid w:val="002E3700"/>
    <w:rsid w:val="002E568B"/>
    <w:rsid w:val="002E5744"/>
    <w:rsid w:val="002E670F"/>
    <w:rsid w:val="002E7163"/>
    <w:rsid w:val="002E77B6"/>
    <w:rsid w:val="002F03FD"/>
    <w:rsid w:val="002F6830"/>
    <w:rsid w:val="002F7DBB"/>
    <w:rsid w:val="00301C0A"/>
    <w:rsid w:val="003027C1"/>
    <w:rsid w:val="00306076"/>
    <w:rsid w:val="003070EE"/>
    <w:rsid w:val="0031280A"/>
    <w:rsid w:val="00312EDB"/>
    <w:rsid w:val="00314038"/>
    <w:rsid w:val="003159BE"/>
    <w:rsid w:val="00315D41"/>
    <w:rsid w:val="00315EF2"/>
    <w:rsid w:val="003173E4"/>
    <w:rsid w:val="00322DC5"/>
    <w:rsid w:val="00325784"/>
    <w:rsid w:val="003267B4"/>
    <w:rsid w:val="0033146C"/>
    <w:rsid w:val="003314ED"/>
    <w:rsid w:val="00332C4F"/>
    <w:rsid w:val="00334E58"/>
    <w:rsid w:val="00341FF8"/>
    <w:rsid w:val="003432B2"/>
    <w:rsid w:val="00344D04"/>
    <w:rsid w:val="00346250"/>
    <w:rsid w:val="003527B2"/>
    <w:rsid w:val="00352B89"/>
    <w:rsid w:val="003538FA"/>
    <w:rsid w:val="00353E5B"/>
    <w:rsid w:val="00355094"/>
    <w:rsid w:val="00357E8A"/>
    <w:rsid w:val="00362AC3"/>
    <w:rsid w:val="00363B09"/>
    <w:rsid w:val="00372358"/>
    <w:rsid w:val="00375E54"/>
    <w:rsid w:val="00376291"/>
    <w:rsid w:val="0038062C"/>
    <w:rsid w:val="00380D20"/>
    <w:rsid w:val="00384411"/>
    <w:rsid w:val="00385395"/>
    <w:rsid w:val="00385596"/>
    <w:rsid w:val="0038680E"/>
    <w:rsid w:val="003873E0"/>
    <w:rsid w:val="003941D1"/>
    <w:rsid w:val="00395BB5"/>
    <w:rsid w:val="00396028"/>
    <w:rsid w:val="00397BBA"/>
    <w:rsid w:val="003A3624"/>
    <w:rsid w:val="003A3E16"/>
    <w:rsid w:val="003A64FE"/>
    <w:rsid w:val="003A67C7"/>
    <w:rsid w:val="003A6B9D"/>
    <w:rsid w:val="003A6BE3"/>
    <w:rsid w:val="003A70F9"/>
    <w:rsid w:val="003B21FD"/>
    <w:rsid w:val="003B30BA"/>
    <w:rsid w:val="003B3DFD"/>
    <w:rsid w:val="003C1A5C"/>
    <w:rsid w:val="003C2DE4"/>
    <w:rsid w:val="003C417E"/>
    <w:rsid w:val="003C5116"/>
    <w:rsid w:val="003C616E"/>
    <w:rsid w:val="003C620D"/>
    <w:rsid w:val="003C6594"/>
    <w:rsid w:val="003C6FFF"/>
    <w:rsid w:val="003C7E93"/>
    <w:rsid w:val="003D3D2B"/>
    <w:rsid w:val="003D42E6"/>
    <w:rsid w:val="003D5533"/>
    <w:rsid w:val="003D6792"/>
    <w:rsid w:val="003E0863"/>
    <w:rsid w:val="003E1677"/>
    <w:rsid w:val="003E1ED1"/>
    <w:rsid w:val="003E2E2D"/>
    <w:rsid w:val="003E3424"/>
    <w:rsid w:val="003E5038"/>
    <w:rsid w:val="003E72EB"/>
    <w:rsid w:val="003F03FB"/>
    <w:rsid w:val="003F2E41"/>
    <w:rsid w:val="003F585D"/>
    <w:rsid w:val="003F63C1"/>
    <w:rsid w:val="003F77CA"/>
    <w:rsid w:val="00401E6C"/>
    <w:rsid w:val="00403F48"/>
    <w:rsid w:val="004040BE"/>
    <w:rsid w:val="00405012"/>
    <w:rsid w:val="00406170"/>
    <w:rsid w:val="00411AD3"/>
    <w:rsid w:val="004157D1"/>
    <w:rsid w:val="0041664D"/>
    <w:rsid w:val="00421551"/>
    <w:rsid w:val="00421BF5"/>
    <w:rsid w:val="00421E71"/>
    <w:rsid w:val="00421E7B"/>
    <w:rsid w:val="00422202"/>
    <w:rsid w:val="00423AB1"/>
    <w:rsid w:val="00432EF4"/>
    <w:rsid w:val="004334D3"/>
    <w:rsid w:val="004339C3"/>
    <w:rsid w:val="00435AD3"/>
    <w:rsid w:val="00436521"/>
    <w:rsid w:val="004366C2"/>
    <w:rsid w:val="004376D3"/>
    <w:rsid w:val="00440B6D"/>
    <w:rsid w:val="00447615"/>
    <w:rsid w:val="00447CD6"/>
    <w:rsid w:val="00450E15"/>
    <w:rsid w:val="00451B4A"/>
    <w:rsid w:val="00452B74"/>
    <w:rsid w:val="0045371E"/>
    <w:rsid w:val="00454BF3"/>
    <w:rsid w:val="00456F49"/>
    <w:rsid w:val="00466D85"/>
    <w:rsid w:val="00471E77"/>
    <w:rsid w:val="0047215E"/>
    <w:rsid w:val="00473A90"/>
    <w:rsid w:val="0047708F"/>
    <w:rsid w:val="00482D0C"/>
    <w:rsid w:val="00487232"/>
    <w:rsid w:val="00490BCF"/>
    <w:rsid w:val="00492494"/>
    <w:rsid w:val="004927BB"/>
    <w:rsid w:val="00492892"/>
    <w:rsid w:val="00494A18"/>
    <w:rsid w:val="0049635B"/>
    <w:rsid w:val="004963B8"/>
    <w:rsid w:val="004A4508"/>
    <w:rsid w:val="004A56D7"/>
    <w:rsid w:val="004A6D57"/>
    <w:rsid w:val="004A7345"/>
    <w:rsid w:val="004A7B45"/>
    <w:rsid w:val="004B0B49"/>
    <w:rsid w:val="004B1B92"/>
    <w:rsid w:val="004B2DC4"/>
    <w:rsid w:val="004B51E1"/>
    <w:rsid w:val="004C09D6"/>
    <w:rsid w:val="004C13C2"/>
    <w:rsid w:val="004C2A4C"/>
    <w:rsid w:val="004C3B8C"/>
    <w:rsid w:val="004C5385"/>
    <w:rsid w:val="004C5ABC"/>
    <w:rsid w:val="004C7113"/>
    <w:rsid w:val="004D2D91"/>
    <w:rsid w:val="004D4213"/>
    <w:rsid w:val="004D6145"/>
    <w:rsid w:val="004D7A37"/>
    <w:rsid w:val="004E054B"/>
    <w:rsid w:val="004E0816"/>
    <w:rsid w:val="004E1231"/>
    <w:rsid w:val="004E4433"/>
    <w:rsid w:val="004E4E81"/>
    <w:rsid w:val="004E507D"/>
    <w:rsid w:val="004E5AE0"/>
    <w:rsid w:val="004E5DFC"/>
    <w:rsid w:val="004E662F"/>
    <w:rsid w:val="004F0615"/>
    <w:rsid w:val="004F1B9B"/>
    <w:rsid w:val="004F4B82"/>
    <w:rsid w:val="004F4C95"/>
    <w:rsid w:val="004F60F4"/>
    <w:rsid w:val="004F6624"/>
    <w:rsid w:val="004F7BC9"/>
    <w:rsid w:val="00500FD2"/>
    <w:rsid w:val="00502E95"/>
    <w:rsid w:val="00503C62"/>
    <w:rsid w:val="00506678"/>
    <w:rsid w:val="0050740E"/>
    <w:rsid w:val="0051030F"/>
    <w:rsid w:val="00512238"/>
    <w:rsid w:val="00513033"/>
    <w:rsid w:val="00515C07"/>
    <w:rsid w:val="00515CA0"/>
    <w:rsid w:val="00522D70"/>
    <w:rsid w:val="005230A3"/>
    <w:rsid w:val="00523BDE"/>
    <w:rsid w:val="00524286"/>
    <w:rsid w:val="00524960"/>
    <w:rsid w:val="00526AA3"/>
    <w:rsid w:val="00534DD4"/>
    <w:rsid w:val="00537EC0"/>
    <w:rsid w:val="0054182D"/>
    <w:rsid w:val="00542BF1"/>
    <w:rsid w:val="00543B34"/>
    <w:rsid w:val="00544639"/>
    <w:rsid w:val="0054555A"/>
    <w:rsid w:val="00545BA9"/>
    <w:rsid w:val="00546CC4"/>
    <w:rsid w:val="00547AC0"/>
    <w:rsid w:val="005507B9"/>
    <w:rsid w:val="005510CD"/>
    <w:rsid w:val="00551109"/>
    <w:rsid w:val="0055119F"/>
    <w:rsid w:val="00554975"/>
    <w:rsid w:val="00554CB2"/>
    <w:rsid w:val="00554DC4"/>
    <w:rsid w:val="00555BE6"/>
    <w:rsid w:val="00555CA9"/>
    <w:rsid w:val="005643FE"/>
    <w:rsid w:val="00565336"/>
    <w:rsid w:val="00566654"/>
    <w:rsid w:val="0057143D"/>
    <w:rsid w:val="00573C52"/>
    <w:rsid w:val="00580E86"/>
    <w:rsid w:val="0058122E"/>
    <w:rsid w:val="005814A4"/>
    <w:rsid w:val="00581D71"/>
    <w:rsid w:val="00585F43"/>
    <w:rsid w:val="00587D09"/>
    <w:rsid w:val="005945BD"/>
    <w:rsid w:val="0059466A"/>
    <w:rsid w:val="00594936"/>
    <w:rsid w:val="005A03A0"/>
    <w:rsid w:val="005A2483"/>
    <w:rsid w:val="005A44AA"/>
    <w:rsid w:val="005A4D91"/>
    <w:rsid w:val="005A7C2D"/>
    <w:rsid w:val="005B23F9"/>
    <w:rsid w:val="005B2795"/>
    <w:rsid w:val="005B317B"/>
    <w:rsid w:val="005B52BF"/>
    <w:rsid w:val="005C11E0"/>
    <w:rsid w:val="005C133D"/>
    <w:rsid w:val="005C3848"/>
    <w:rsid w:val="005D3170"/>
    <w:rsid w:val="005D3652"/>
    <w:rsid w:val="005D4643"/>
    <w:rsid w:val="005D5D63"/>
    <w:rsid w:val="005D6182"/>
    <w:rsid w:val="005E06A2"/>
    <w:rsid w:val="005E2403"/>
    <w:rsid w:val="005E3A2A"/>
    <w:rsid w:val="005E55CA"/>
    <w:rsid w:val="005F145F"/>
    <w:rsid w:val="005F2A47"/>
    <w:rsid w:val="005F35B7"/>
    <w:rsid w:val="005F4680"/>
    <w:rsid w:val="005F5539"/>
    <w:rsid w:val="005F614A"/>
    <w:rsid w:val="00601966"/>
    <w:rsid w:val="00601D9B"/>
    <w:rsid w:val="0060258E"/>
    <w:rsid w:val="00604CB5"/>
    <w:rsid w:val="006067AB"/>
    <w:rsid w:val="00611617"/>
    <w:rsid w:val="006141C0"/>
    <w:rsid w:val="00614AE5"/>
    <w:rsid w:val="0061575C"/>
    <w:rsid w:val="006171D1"/>
    <w:rsid w:val="00617AA6"/>
    <w:rsid w:val="00617C5B"/>
    <w:rsid w:val="00617EA8"/>
    <w:rsid w:val="00621805"/>
    <w:rsid w:val="00622182"/>
    <w:rsid w:val="00623B09"/>
    <w:rsid w:val="00624777"/>
    <w:rsid w:val="00624D5A"/>
    <w:rsid w:val="00625988"/>
    <w:rsid w:val="0062735B"/>
    <w:rsid w:val="00631A33"/>
    <w:rsid w:val="00633914"/>
    <w:rsid w:val="00633E85"/>
    <w:rsid w:val="00640004"/>
    <w:rsid w:val="00640337"/>
    <w:rsid w:val="006407F1"/>
    <w:rsid w:val="00640FF6"/>
    <w:rsid w:val="00641945"/>
    <w:rsid w:val="0064310C"/>
    <w:rsid w:val="00645759"/>
    <w:rsid w:val="006465D2"/>
    <w:rsid w:val="0064767A"/>
    <w:rsid w:val="00650728"/>
    <w:rsid w:val="00650CE0"/>
    <w:rsid w:val="00651F2D"/>
    <w:rsid w:val="0065202F"/>
    <w:rsid w:val="00652054"/>
    <w:rsid w:val="00655AB6"/>
    <w:rsid w:val="0065614E"/>
    <w:rsid w:val="00656ED7"/>
    <w:rsid w:val="006571EF"/>
    <w:rsid w:val="00664A1E"/>
    <w:rsid w:val="00665A9C"/>
    <w:rsid w:val="00671025"/>
    <w:rsid w:val="00673B0A"/>
    <w:rsid w:val="00673DBC"/>
    <w:rsid w:val="00673E32"/>
    <w:rsid w:val="006758B9"/>
    <w:rsid w:val="00676504"/>
    <w:rsid w:val="00676F16"/>
    <w:rsid w:val="006832F1"/>
    <w:rsid w:val="006834D8"/>
    <w:rsid w:val="006867D7"/>
    <w:rsid w:val="00686A83"/>
    <w:rsid w:val="00690A37"/>
    <w:rsid w:val="006924E0"/>
    <w:rsid w:val="00693EF0"/>
    <w:rsid w:val="00694B79"/>
    <w:rsid w:val="00697495"/>
    <w:rsid w:val="006A2099"/>
    <w:rsid w:val="006A30E0"/>
    <w:rsid w:val="006A449B"/>
    <w:rsid w:val="006A6AE6"/>
    <w:rsid w:val="006B0FD6"/>
    <w:rsid w:val="006B31A4"/>
    <w:rsid w:val="006B7A0E"/>
    <w:rsid w:val="006C0466"/>
    <w:rsid w:val="006C0629"/>
    <w:rsid w:val="006C27A5"/>
    <w:rsid w:val="006C75BF"/>
    <w:rsid w:val="006D1ABB"/>
    <w:rsid w:val="006D21D2"/>
    <w:rsid w:val="006D4947"/>
    <w:rsid w:val="006E022D"/>
    <w:rsid w:val="006E3AAA"/>
    <w:rsid w:val="006E5980"/>
    <w:rsid w:val="006F08D8"/>
    <w:rsid w:val="006F13E6"/>
    <w:rsid w:val="006F212A"/>
    <w:rsid w:val="006F2B41"/>
    <w:rsid w:val="006F5047"/>
    <w:rsid w:val="006F76C7"/>
    <w:rsid w:val="00702FAE"/>
    <w:rsid w:val="00707C37"/>
    <w:rsid w:val="00710BAF"/>
    <w:rsid w:val="007121E4"/>
    <w:rsid w:val="0071237F"/>
    <w:rsid w:val="007126F6"/>
    <w:rsid w:val="007148E0"/>
    <w:rsid w:val="00714A13"/>
    <w:rsid w:val="00715FE9"/>
    <w:rsid w:val="00716016"/>
    <w:rsid w:val="007216CB"/>
    <w:rsid w:val="00731326"/>
    <w:rsid w:val="007321A0"/>
    <w:rsid w:val="00733D0B"/>
    <w:rsid w:val="00745AF8"/>
    <w:rsid w:val="0074601B"/>
    <w:rsid w:val="00746D10"/>
    <w:rsid w:val="007471C4"/>
    <w:rsid w:val="007477F2"/>
    <w:rsid w:val="00750D3F"/>
    <w:rsid w:val="0075188A"/>
    <w:rsid w:val="00755F08"/>
    <w:rsid w:val="00756837"/>
    <w:rsid w:val="007611E1"/>
    <w:rsid w:val="00761845"/>
    <w:rsid w:val="00764E0E"/>
    <w:rsid w:val="00766EB7"/>
    <w:rsid w:val="00770E64"/>
    <w:rsid w:val="00772780"/>
    <w:rsid w:val="00773B9F"/>
    <w:rsid w:val="00775AF5"/>
    <w:rsid w:val="0077600B"/>
    <w:rsid w:val="00776BA0"/>
    <w:rsid w:val="00777D71"/>
    <w:rsid w:val="00786425"/>
    <w:rsid w:val="007905B1"/>
    <w:rsid w:val="0079094C"/>
    <w:rsid w:val="00791526"/>
    <w:rsid w:val="007A0096"/>
    <w:rsid w:val="007A1339"/>
    <w:rsid w:val="007A19C5"/>
    <w:rsid w:val="007A247C"/>
    <w:rsid w:val="007A36F2"/>
    <w:rsid w:val="007A571A"/>
    <w:rsid w:val="007A63AD"/>
    <w:rsid w:val="007B3553"/>
    <w:rsid w:val="007B3A5A"/>
    <w:rsid w:val="007C1877"/>
    <w:rsid w:val="007C1D79"/>
    <w:rsid w:val="007C5686"/>
    <w:rsid w:val="007C6863"/>
    <w:rsid w:val="007D0B8A"/>
    <w:rsid w:val="007D1D3F"/>
    <w:rsid w:val="007D30DE"/>
    <w:rsid w:val="007D3642"/>
    <w:rsid w:val="007D3A0F"/>
    <w:rsid w:val="007D3E24"/>
    <w:rsid w:val="007D4166"/>
    <w:rsid w:val="007D6AAD"/>
    <w:rsid w:val="007E0CBB"/>
    <w:rsid w:val="007E6486"/>
    <w:rsid w:val="007F11FD"/>
    <w:rsid w:val="007F2967"/>
    <w:rsid w:val="007F2A88"/>
    <w:rsid w:val="007F2C5E"/>
    <w:rsid w:val="007F2D01"/>
    <w:rsid w:val="007F3AA6"/>
    <w:rsid w:val="007F5693"/>
    <w:rsid w:val="007F629E"/>
    <w:rsid w:val="007F6B24"/>
    <w:rsid w:val="007F79CD"/>
    <w:rsid w:val="00800295"/>
    <w:rsid w:val="00800B36"/>
    <w:rsid w:val="008010F6"/>
    <w:rsid w:val="00802455"/>
    <w:rsid w:val="00802C5B"/>
    <w:rsid w:val="00805955"/>
    <w:rsid w:val="008067CA"/>
    <w:rsid w:val="00807446"/>
    <w:rsid w:val="00812151"/>
    <w:rsid w:val="00812615"/>
    <w:rsid w:val="008138C7"/>
    <w:rsid w:val="0081417C"/>
    <w:rsid w:val="00815EE6"/>
    <w:rsid w:val="00816161"/>
    <w:rsid w:val="008170FD"/>
    <w:rsid w:val="00820D07"/>
    <w:rsid w:val="008249B6"/>
    <w:rsid w:val="00826348"/>
    <w:rsid w:val="00826556"/>
    <w:rsid w:val="00827641"/>
    <w:rsid w:val="00833DEC"/>
    <w:rsid w:val="00834DAE"/>
    <w:rsid w:val="0083692F"/>
    <w:rsid w:val="0084042A"/>
    <w:rsid w:val="00845611"/>
    <w:rsid w:val="008506E9"/>
    <w:rsid w:val="0085101E"/>
    <w:rsid w:val="00853AC7"/>
    <w:rsid w:val="008546E0"/>
    <w:rsid w:val="00856712"/>
    <w:rsid w:val="00857041"/>
    <w:rsid w:val="00861686"/>
    <w:rsid w:val="00866AA1"/>
    <w:rsid w:val="00866D97"/>
    <w:rsid w:val="008679FC"/>
    <w:rsid w:val="00872EAD"/>
    <w:rsid w:val="0087417D"/>
    <w:rsid w:val="0087558D"/>
    <w:rsid w:val="00882349"/>
    <w:rsid w:val="008853E6"/>
    <w:rsid w:val="0088701E"/>
    <w:rsid w:val="00894F6E"/>
    <w:rsid w:val="008954E4"/>
    <w:rsid w:val="008968F1"/>
    <w:rsid w:val="008A01F0"/>
    <w:rsid w:val="008A0695"/>
    <w:rsid w:val="008A1384"/>
    <w:rsid w:val="008A2500"/>
    <w:rsid w:val="008A291D"/>
    <w:rsid w:val="008A3013"/>
    <w:rsid w:val="008A3528"/>
    <w:rsid w:val="008A49E9"/>
    <w:rsid w:val="008A4B7A"/>
    <w:rsid w:val="008A54D7"/>
    <w:rsid w:val="008A7606"/>
    <w:rsid w:val="008B0411"/>
    <w:rsid w:val="008B1E80"/>
    <w:rsid w:val="008B2587"/>
    <w:rsid w:val="008B276D"/>
    <w:rsid w:val="008B346A"/>
    <w:rsid w:val="008B3BC1"/>
    <w:rsid w:val="008B40E9"/>
    <w:rsid w:val="008B490D"/>
    <w:rsid w:val="008B584D"/>
    <w:rsid w:val="008B587D"/>
    <w:rsid w:val="008B5DBB"/>
    <w:rsid w:val="008B6FF0"/>
    <w:rsid w:val="008C0688"/>
    <w:rsid w:val="008C2E1B"/>
    <w:rsid w:val="008C3877"/>
    <w:rsid w:val="008C56E8"/>
    <w:rsid w:val="008C66B5"/>
    <w:rsid w:val="008C6EF6"/>
    <w:rsid w:val="008D0621"/>
    <w:rsid w:val="008D0DF3"/>
    <w:rsid w:val="008D1417"/>
    <w:rsid w:val="008D2955"/>
    <w:rsid w:val="008D383D"/>
    <w:rsid w:val="008D3EA6"/>
    <w:rsid w:val="008D4AE8"/>
    <w:rsid w:val="008D56D2"/>
    <w:rsid w:val="008D7F2E"/>
    <w:rsid w:val="008E28F2"/>
    <w:rsid w:val="008E4C80"/>
    <w:rsid w:val="008E5AAC"/>
    <w:rsid w:val="008E5D7B"/>
    <w:rsid w:val="008E776A"/>
    <w:rsid w:val="008F25A7"/>
    <w:rsid w:val="008F5EE6"/>
    <w:rsid w:val="008F7A0A"/>
    <w:rsid w:val="00900E59"/>
    <w:rsid w:val="00901965"/>
    <w:rsid w:val="00915CB0"/>
    <w:rsid w:val="00917235"/>
    <w:rsid w:val="00920E82"/>
    <w:rsid w:val="00921DD7"/>
    <w:rsid w:val="00922008"/>
    <w:rsid w:val="009220B3"/>
    <w:rsid w:val="00923361"/>
    <w:rsid w:val="00927500"/>
    <w:rsid w:val="00927A0E"/>
    <w:rsid w:val="00932B12"/>
    <w:rsid w:val="00933320"/>
    <w:rsid w:val="00934DA1"/>
    <w:rsid w:val="00935789"/>
    <w:rsid w:val="00937003"/>
    <w:rsid w:val="00942A8F"/>
    <w:rsid w:val="00943535"/>
    <w:rsid w:val="00943988"/>
    <w:rsid w:val="00945353"/>
    <w:rsid w:val="00945B14"/>
    <w:rsid w:val="00947872"/>
    <w:rsid w:val="00951E5A"/>
    <w:rsid w:val="0095217C"/>
    <w:rsid w:val="0095294F"/>
    <w:rsid w:val="00953B81"/>
    <w:rsid w:val="00954662"/>
    <w:rsid w:val="009564A8"/>
    <w:rsid w:val="009566F9"/>
    <w:rsid w:val="00957A6E"/>
    <w:rsid w:val="00957F72"/>
    <w:rsid w:val="009618DD"/>
    <w:rsid w:val="00961BF2"/>
    <w:rsid w:val="0096252A"/>
    <w:rsid w:val="00964935"/>
    <w:rsid w:val="00964D6B"/>
    <w:rsid w:val="0097251B"/>
    <w:rsid w:val="00972B65"/>
    <w:rsid w:val="00972F1A"/>
    <w:rsid w:val="00973114"/>
    <w:rsid w:val="0097317D"/>
    <w:rsid w:val="00975319"/>
    <w:rsid w:val="00976A0A"/>
    <w:rsid w:val="00980235"/>
    <w:rsid w:val="0098250D"/>
    <w:rsid w:val="00982626"/>
    <w:rsid w:val="0098293A"/>
    <w:rsid w:val="009875B9"/>
    <w:rsid w:val="009921FC"/>
    <w:rsid w:val="00992243"/>
    <w:rsid w:val="00992A46"/>
    <w:rsid w:val="00994D7C"/>
    <w:rsid w:val="009A066E"/>
    <w:rsid w:val="009A0B72"/>
    <w:rsid w:val="009A125D"/>
    <w:rsid w:val="009A333B"/>
    <w:rsid w:val="009A6B21"/>
    <w:rsid w:val="009A78E7"/>
    <w:rsid w:val="009B00E2"/>
    <w:rsid w:val="009B11F1"/>
    <w:rsid w:val="009B13C1"/>
    <w:rsid w:val="009B53BA"/>
    <w:rsid w:val="009B5ECE"/>
    <w:rsid w:val="009B6B93"/>
    <w:rsid w:val="009B7238"/>
    <w:rsid w:val="009B743C"/>
    <w:rsid w:val="009C0133"/>
    <w:rsid w:val="009C08FE"/>
    <w:rsid w:val="009C0AA2"/>
    <w:rsid w:val="009C208C"/>
    <w:rsid w:val="009C223D"/>
    <w:rsid w:val="009C29A9"/>
    <w:rsid w:val="009C31C0"/>
    <w:rsid w:val="009C58F4"/>
    <w:rsid w:val="009C6C6B"/>
    <w:rsid w:val="009C6C92"/>
    <w:rsid w:val="009D0363"/>
    <w:rsid w:val="009D25D2"/>
    <w:rsid w:val="009D2DE7"/>
    <w:rsid w:val="009D4463"/>
    <w:rsid w:val="009D48D3"/>
    <w:rsid w:val="009D6B05"/>
    <w:rsid w:val="009D7758"/>
    <w:rsid w:val="009D7A49"/>
    <w:rsid w:val="009E0D44"/>
    <w:rsid w:val="009E2C63"/>
    <w:rsid w:val="009E699F"/>
    <w:rsid w:val="009E7372"/>
    <w:rsid w:val="009F3A0E"/>
    <w:rsid w:val="009F3F02"/>
    <w:rsid w:val="009F7AC6"/>
    <w:rsid w:val="00A0431B"/>
    <w:rsid w:val="00A04CB5"/>
    <w:rsid w:val="00A05449"/>
    <w:rsid w:val="00A07353"/>
    <w:rsid w:val="00A076D4"/>
    <w:rsid w:val="00A07754"/>
    <w:rsid w:val="00A1113C"/>
    <w:rsid w:val="00A11197"/>
    <w:rsid w:val="00A12F23"/>
    <w:rsid w:val="00A15075"/>
    <w:rsid w:val="00A16123"/>
    <w:rsid w:val="00A161A6"/>
    <w:rsid w:val="00A1658B"/>
    <w:rsid w:val="00A16982"/>
    <w:rsid w:val="00A20357"/>
    <w:rsid w:val="00A23A3D"/>
    <w:rsid w:val="00A2489E"/>
    <w:rsid w:val="00A2751E"/>
    <w:rsid w:val="00A27947"/>
    <w:rsid w:val="00A3630A"/>
    <w:rsid w:val="00A404CE"/>
    <w:rsid w:val="00A42C26"/>
    <w:rsid w:val="00A442BA"/>
    <w:rsid w:val="00A46443"/>
    <w:rsid w:val="00A47640"/>
    <w:rsid w:val="00A52D00"/>
    <w:rsid w:val="00A54536"/>
    <w:rsid w:val="00A57430"/>
    <w:rsid w:val="00A61448"/>
    <w:rsid w:val="00A623A6"/>
    <w:rsid w:val="00A65294"/>
    <w:rsid w:val="00A67909"/>
    <w:rsid w:val="00A703E6"/>
    <w:rsid w:val="00A71131"/>
    <w:rsid w:val="00A71833"/>
    <w:rsid w:val="00A73B38"/>
    <w:rsid w:val="00A74704"/>
    <w:rsid w:val="00A7478A"/>
    <w:rsid w:val="00A75D2C"/>
    <w:rsid w:val="00A76014"/>
    <w:rsid w:val="00A77994"/>
    <w:rsid w:val="00A80059"/>
    <w:rsid w:val="00A80C14"/>
    <w:rsid w:val="00A81FC5"/>
    <w:rsid w:val="00A829A1"/>
    <w:rsid w:val="00A8712C"/>
    <w:rsid w:val="00A873F8"/>
    <w:rsid w:val="00A87ABE"/>
    <w:rsid w:val="00A87FB5"/>
    <w:rsid w:val="00A918C7"/>
    <w:rsid w:val="00A93BC6"/>
    <w:rsid w:val="00A94B37"/>
    <w:rsid w:val="00A94BEF"/>
    <w:rsid w:val="00A9549D"/>
    <w:rsid w:val="00A9595F"/>
    <w:rsid w:val="00A96DBC"/>
    <w:rsid w:val="00AA2C60"/>
    <w:rsid w:val="00AA39CF"/>
    <w:rsid w:val="00AB0B19"/>
    <w:rsid w:val="00AB18DE"/>
    <w:rsid w:val="00AB1B29"/>
    <w:rsid w:val="00AB1D62"/>
    <w:rsid w:val="00AB2C57"/>
    <w:rsid w:val="00AB3DB8"/>
    <w:rsid w:val="00AB567C"/>
    <w:rsid w:val="00AB62F0"/>
    <w:rsid w:val="00AB68CF"/>
    <w:rsid w:val="00AC4C48"/>
    <w:rsid w:val="00AC597B"/>
    <w:rsid w:val="00AD2794"/>
    <w:rsid w:val="00AD333F"/>
    <w:rsid w:val="00AD38E1"/>
    <w:rsid w:val="00AD49CD"/>
    <w:rsid w:val="00AD5EF6"/>
    <w:rsid w:val="00AE294E"/>
    <w:rsid w:val="00AE663A"/>
    <w:rsid w:val="00AE66DE"/>
    <w:rsid w:val="00AE6C6F"/>
    <w:rsid w:val="00AE78B8"/>
    <w:rsid w:val="00AF508F"/>
    <w:rsid w:val="00AF5320"/>
    <w:rsid w:val="00B02E8D"/>
    <w:rsid w:val="00B02FDA"/>
    <w:rsid w:val="00B03D3C"/>
    <w:rsid w:val="00B07DC2"/>
    <w:rsid w:val="00B10962"/>
    <w:rsid w:val="00B10970"/>
    <w:rsid w:val="00B12C07"/>
    <w:rsid w:val="00B14A7A"/>
    <w:rsid w:val="00B15724"/>
    <w:rsid w:val="00B1585E"/>
    <w:rsid w:val="00B16A58"/>
    <w:rsid w:val="00B17AF4"/>
    <w:rsid w:val="00B17D65"/>
    <w:rsid w:val="00B17DF2"/>
    <w:rsid w:val="00B212D2"/>
    <w:rsid w:val="00B21396"/>
    <w:rsid w:val="00B22F94"/>
    <w:rsid w:val="00B23C63"/>
    <w:rsid w:val="00B2412A"/>
    <w:rsid w:val="00B25C66"/>
    <w:rsid w:val="00B26059"/>
    <w:rsid w:val="00B27457"/>
    <w:rsid w:val="00B3094B"/>
    <w:rsid w:val="00B30B30"/>
    <w:rsid w:val="00B33897"/>
    <w:rsid w:val="00B36843"/>
    <w:rsid w:val="00B36C69"/>
    <w:rsid w:val="00B3723D"/>
    <w:rsid w:val="00B37621"/>
    <w:rsid w:val="00B37967"/>
    <w:rsid w:val="00B43394"/>
    <w:rsid w:val="00B43657"/>
    <w:rsid w:val="00B47AD0"/>
    <w:rsid w:val="00B508DC"/>
    <w:rsid w:val="00B519BF"/>
    <w:rsid w:val="00B51F6A"/>
    <w:rsid w:val="00B5375F"/>
    <w:rsid w:val="00B538EA"/>
    <w:rsid w:val="00B53A17"/>
    <w:rsid w:val="00B56C09"/>
    <w:rsid w:val="00B60D47"/>
    <w:rsid w:val="00B62C99"/>
    <w:rsid w:val="00B63B22"/>
    <w:rsid w:val="00B63E0F"/>
    <w:rsid w:val="00B716C1"/>
    <w:rsid w:val="00B72ECE"/>
    <w:rsid w:val="00B737E1"/>
    <w:rsid w:val="00B76148"/>
    <w:rsid w:val="00B80BC6"/>
    <w:rsid w:val="00B80E40"/>
    <w:rsid w:val="00B82D23"/>
    <w:rsid w:val="00B83158"/>
    <w:rsid w:val="00B85E62"/>
    <w:rsid w:val="00B8757D"/>
    <w:rsid w:val="00B907F6"/>
    <w:rsid w:val="00B90AC8"/>
    <w:rsid w:val="00B91EDE"/>
    <w:rsid w:val="00B94EEF"/>
    <w:rsid w:val="00B95EBA"/>
    <w:rsid w:val="00B974AD"/>
    <w:rsid w:val="00BA058D"/>
    <w:rsid w:val="00BA0662"/>
    <w:rsid w:val="00BA4223"/>
    <w:rsid w:val="00BA44A9"/>
    <w:rsid w:val="00BA54D6"/>
    <w:rsid w:val="00BA7608"/>
    <w:rsid w:val="00BB10E8"/>
    <w:rsid w:val="00BB2EBC"/>
    <w:rsid w:val="00BB7AD8"/>
    <w:rsid w:val="00BC1BA1"/>
    <w:rsid w:val="00BC63E6"/>
    <w:rsid w:val="00BD0B52"/>
    <w:rsid w:val="00BD2538"/>
    <w:rsid w:val="00BD438B"/>
    <w:rsid w:val="00BD60B4"/>
    <w:rsid w:val="00BD6D8C"/>
    <w:rsid w:val="00BD7EF8"/>
    <w:rsid w:val="00BE454B"/>
    <w:rsid w:val="00BE4BA2"/>
    <w:rsid w:val="00BF0172"/>
    <w:rsid w:val="00BF09D7"/>
    <w:rsid w:val="00BF1076"/>
    <w:rsid w:val="00BF2C96"/>
    <w:rsid w:val="00BF501C"/>
    <w:rsid w:val="00BF5FF5"/>
    <w:rsid w:val="00BF63D1"/>
    <w:rsid w:val="00BF66CD"/>
    <w:rsid w:val="00BF799A"/>
    <w:rsid w:val="00C0037C"/>
    <w:rsid w:val="00C0257C"/>
    <w:rsid w:val="00C03D5B"/>
    <w:rsid w:val="00C04873"/>
    <w:rsid w:val="00C1062E"/>
    <w:rsid w:val="00C1190D"/>
    <w:rsid w:val="00C15094"/>
    <w:rsid w:val="00C15EA3"/>
    <w:rsid w:val="00C179A4"/>
    <w:rsid w:val="00C20AB7"/>
    <w:rsid w:val="00C24AC0"/>
    <w:rsid w:val="00C25A16"/>
    <w:rsid w:val="00C265F4"/>
    <w:rsid w:val="00C3142F"/>
    <w:rsid w:val="00C32185"/>
    <w:rsid w:val="00C365CB"/>
    <w:rsid w:val="00C374D0"/>
    <w:rsid w:val="00C43680"/>
    <w:rsid w:val="00C450A6"/>
    <w:rsid w:val="00C46320"/>
    <w:rsid w:val="00C509A4"/>
    <w:rsid w:val="00C517D6"/>
    <w:rsid w:val="00C51B6E"/>
    <w:rsid w:val="00C51E14"/>
    <w:rsid w:val="00C60A6C"/>
    <w:rsid w:val="00C65426"/>
    <w:rsid w:val="00C70F0F"/>
    <w:rsid w:val="00C72814"/>
    <w:rsid w:val="00C7564C"/>
    <w:rsid w:val="00C76E6E"/>
    <w:rsid w:val="00C81225"/>
    <w:rsid w:val="00C86F51"/>
    <w:rsid w:val="00C8701B"/>
    <w:rsid w:val="00C872B9"/>
    <w:rsid w:val="00C9024E"/>
    <w:rsid w:val="00C906CF"/>
    <w:rsid w:val="00C91D09"/>
    <w:rsid w:val="00C94BD5"/>
    <w:rsid w:val="00C9683E"/>
    <w:rsid w:val="00CA06BD"/>
    <w:rsid w:val="00CA0B25"/>
    <w:rsid w:val="00CA1F90"/>
    <w:rsid w:val="00CA2109"/>
    <w:rsid w:val="00CA70B8"/>
    <w:rsid w:val="00CB085A"/>
    <w:rsid w:val="00CB189D"/>
    <w:rsid w:val="00CB3771"/>
    <w:rsid w:val="00CB4159"/>
    <w:rsid w:val="00CB6BA5"/>
    <w:rsid w:val="00CC05A3"/>
    <w:rsid w:val="00CC1F18"/>
    <w:rsid w:val="00CC5B9E"/>
    <w:rsid w:val="00CC6CB6"/>
    <w:rsid w:val="00CC7AA0"/>
    <w:rsid w:val="00CD27CD"/>
    <w:rsid w:val="00CD2D32"/>
    <w:rsid w:val="00CD65BC"/>
    <w:rsid w:val="00CE234D"/>
    <w:rsid w:val="00CE2B53"/>
    <w:rsid w:val="00CF4794"/>
    <w:rsid w:val="00CF4808"/>
    <w:rsid w:val="00CF613D"/>
    <w:rsid w:val="00CF6835"/>
    <w:rsid w:val="00CF7121"/>
    <w:rsid w:val="00CF71D5"/>
    <w:rsid w:val="00D01C92"/>
    <w:rsid w:val="00D02614"/>
    <w:rsid w:val="00D0572E"/>
    <w:rsid w:val="00D0624B"/>
    <w:rsid w:val="00D067B6"/>
    <w:rsid w:val="00D06D73"/>
    <w:rsid w:val="00D07CE0"/>
    <w:rsid w:val="00D11FEA"/>
    <w:rsid w:val="00D14F04"/>
    <w:rsid w:val="00D20235"/>
    <w:rsid w:val="00D2363E"/>
    <w:rsid w:val="00D24D6D"/>
    <w:rsid w:val="00D273EF"/>
    <w:rsid w:val="00D27687"/>
    <w:rsid w:val="00D2771A"/>
    <w:rsid w:val="00D35C67"/>
    <w:rsid w:val="00D42888"/>
    <w:rsid w:val="00D43463"/>
    <w:rsid w:val="00D441C1"/>
    <w:rsid w:val="00D44D78"/>
    <w:rsid w:val="00D453AD"/>
    <w:rsid w:val="00D46237"/>
    <w:rsid w:val="00D502B1"/>
    <w:rsid w:val="00D505BA"/>
    <w:rsid w:val="00D5454A"/>
    <w:rsid w:val="00D57E64"/>
    <w:rsid w:val="00D606B3"/>
    <w:rsid w:val="00D60840"/>
    <w:rsid w:val="00D63FF3"/>
    <w:rsid w:val="00D6463E"/>
    <w:rsid w:val="00D724AB"/>
    <w:rsid w:val="00D72A5C"/>
    <w:rsid w:val="00D735D5"/>
    <w:rsid w:val="00D74764"/>
    <w:rsid w:val="00D80FA0"/>
    <w:rsid w:val="00D81BCA"/>
    <w:rsid w:val="00D83195"/>
    <w:rsid w:val="00D84082"/>
    <w:rsid w:val="00D907D5"/>
    <w:rsid w:val="00D9691A"/>
    <w:rsid w:val="00D97DD8"/>
    <w:rsid w:val="00DA26C8"/>
    <w:rsid w:val="00DA6AC6"/>
    <w:rsid w:val="00DA7A17"/>
    <w:rsid w:val="00DA7DDF"/>
    <w:rsid w:val="00DB48CD"/>
    <w:rsid w:val="00DB607A"/>
    <w:rsid w:val="00DC2306"/>
    <w:rsid w:val="00DC360F"/>
    <w:rsid w:val="00DC4875"/>
    <w:rsid w:val="00DC58AD"/>
    <w:rsid w:val="00DC5C34"/>
    <w:rsid w:val="00DC626B"/>
    <w:rsid w:val="00DD0017"/>
    <w:rsid w:val="00DD1C92"/>
    <w:rsid w:val="00DD2132"/>
    <w:rsid w:val="00DD2643"/>
    <w:rsid w:val="00DD2C5D"/>
    <w:rsid w:val="00DD6885"/>
    <w:rsid w:val="00DE032D"/>
    <w:rsid w:val="00DE0D47"/>
    <w:rsid w:val="00DE2F24"/>
    <w:rsid w:val="00DE39A3"/>
    <w:rsid w:val="00DE6CFC"/>
    <w:rsid w:val="00DE7115"/>
    <w:rsid w:val="00DF01EE"/>
    <w:rsid w:val="00DF041E"/>
    <w:rsid w:val="00DF1F3A"/>
    <w:rsid w:val="00DF28DF"/>
    <w:rsid w:val="00DF2A3A"/>
    <w:rsid w:val="00DF2D94"/>
    <w:rsid w:val="00DF63FD"/>
    <w:rsid w:val="00DF6F69"/>
    <w:rsid w:val="00E01500"/>
    <w:rsid w:val="00E02E85"/>
    <w:rsid w:val="00E04A01"/>
    <w:rsid w:val="00E07669"/>
    <w:rsid w:val="00E07736"/>
    <w:rsid w:val="00E103E5"/>
    <w:rsid w:val="00E11E03"/>
    <w:rsid w:val="00E13D73"/>
    <w:rsid w:val="00E162AF"/>
    <w:rsid w:val="00E170B2"/>
    <w:rsid w:val="00E17EC4"/>
    <w:rsid w:val="00E22A72"/>
    <w:rsid w:val="00E244BD"/>
    <w:rsid w:val="00E3341B"/>
    <w:rsid w:val="00E35E2B"/>
    <w:rsid w:val="00E4084D"/>
    <w:rsid w:val="00E4100F"/>
    <w:rsid w:val="00E43786"/>
    <w:rsid w:val="00E43B03"/>
    <w:rsid w:val="00E441E1"/>
    <w:rsid w:val="00E44BB7"/>
    <w:rsid w:val="00E4516B"/>
    <w:rsid w:val="00E45DE7"/>
    <w:rsid w:val="00E47FA9"/>
    <w:rsid w:val="00E509D3"/>
    <w:rsid w:val="00E51B47"/>
    <w:rsid w:val="00E554EF"/>
    <w:rsid w:val="00E60558"/>
    <w:rsid w:val="00E60F8C"/>
    <w:rsid w:val="00E611B9"/>
    <w:rsid w:val="00E6132E"/>
    <w:rsid w:val="00E61C9D"/>
    <w:rsid w:val="00E62933"/>
    <w:rsid w:val="00E642BA"/>
    <w:rsid w:val="00E64CCF"/>
    <w:rsid w:val="00E65418"/>
    <w:rsid w:val="00E65FD2"/>
    <w:rsid w:val="00E6650E"/>
    <w:rsid w:val="00E67052"/>
    <w:rsid w:val="00E7083A"/>
    <w:rsid w:val="00E71C9F"/>
    <w:rsid w:val="00E721EE"/>
    <w:rsid w:val="00E72E4D"/>
    <w:rsid w:val="00E74677"/>
    <w:rsid w:val="00E74FB1"/>
    <w:rsid w:val="00E755D5"/>
    <w:rsid w:val="00E75718"/>
    <w:rsid w:val="00E75DFE"/>
    <w:rsid w:val="00E76756"/>
    <w:rsid w:val="00E76D8E"/>
    <w:rsid w:val="00E80E40"/>
    <w:rsid w:val="00E83062"/>
    <w:rsid w:val="00E86E45"/>
    <w:rsid w:val="00E91236"/>
    <w:rsid w:val="00E95263"/>
    <w:rsid w:val="00E97F8A"/>
    <w:rsid w:val="00EA3215"/>
    <w:rsid w:val="00EA46C2"/>
    <w:rsid w:val="00EA4739"/>
    <w:rsid w:val="00EA4CBD"/>
    <w:rsid w:val="00EA5D1A"/>
    <w:rsid w:val="00EA616F"/>
    <w:rsid w:val="00EA6303"/>
    <w:rsid w:val="00EA65BD"/>
    <w:rsid w:val="00EB04F7"/>
    <w:rsid w:val="00EB2DAD"/>
    <w:rsid w:val="00EB3F3A"/>
    <w:rsid w:val="00EB6F65"/>
    <w:rsid w:val="00EB7B3A"/>
    <w:rsid w:val="00EC136F"/>
    <w:rsid w:val="00EC2E68"/>
    <w:rsid w:val="00EC4AD4"/>
    <w:rsid w:val="00EC59CF"/>
    <w:rsid w:val="00EC5D08"/>
    <w:rsid w:val="00EC5DFB"/>
    <w:rsid w:val="00EC7DCD"/>
    <w:rsid w:val="00ED15B2"/>
    <w:rsid w:val="00ED1989"/>
    <w:rsid w:val="00ED29C1"/>
    <w:rsid w:val="00ED42A9"/>
    <w:rsid w:val="00ED4F76"/>
    <w:rsid w:val="00ED534D"/>
    <w:rsid w:val="00ED5F88"/>
    <w:rsid w:val="00ED5FA2"/>
    <w:rsid w:val="00ED7A3F"/>
    <w:rsid w:val="00EE0018"/>
    <w:rsid w:val="00EE2311"/>
    <w:rsid w:val="00EE4D74"/>
    <w:rsid w:val="00EE5135"/>
    <w:rsid w:val="00EE604B"/>
    <w:rsid w:val="00EE7BE4"/>
    <w:rsid w:val="00EF11A2"/>
    <w:rsid w:val="00EF11CF"/>
    <w:rsid w:val="00EF1972"/>
    <w:rsid w:val="00EF4B72"/>
    <w:rsid w:val="00F00E2D"/>
    <w:rsid w:val="00F01ECF"/>
    <w:rsid w:val="00F05344"/>
    <w:rsid w:val="00F06808"/>
    <w:rsid w:val="00F0718F"/>
    <w:rsid w:val="00F12E4E"/>
    <w:rsid w:val="00F13C9D"/>
    <w:rsid w:val="00F14613"/>
    <w:rsid w:val="00F17946"/>
    <w:rsid w:val="00F179D6"/>
    <w:rsid w:val="00F20377"/>
    <w:rsid w:val="00F20AE8"/>
    <w:rsid w:val="00F23B47"/>
    <w:rsid w:val="00F23D44"/>
    <w:rsid w:val="00F23DE7"/>
    <w:rsid w:val="00F27A61"/>
    <w:rsid w:val="00F31472"/>
    <w:rsid w:val="00F333C0"/>
    <w:rsid w:val="00F3503E"/>
    <w:rsid w:val="00F37E4B"/>
    <w:rsid w:val="00F4065B"/>
    <w:rsid w:val="00F44871"/>
    <w:rsid w:val="00F45160"/>
    <w:rsid w:val="00F5011B"/>
    <w:rsid w:val="00F542EA"/>
    <w:rsid w:val="00F56BC5"/>
    <w:rsid w:val="00F61172"/>
    <w:rsid w:val="00F62C16"/>
    <w:rsid w:val="00F71553"/>
    <w:rsid w:val="00F73900"/>
    <w:rsid w:val="00F73A10"/>
    <w:rsid w:val="00F73C69"/>
    <w:rsid w:val="00F75055"/>
    <w:rsid w:val="00F779EA"/>
    <w:rsid w:val="00F8369C"/>
    <w:rsid w:val="00F85556"/>
    <w:rsid w:val="00F85EB7"/>
    <w:rsid w:val="00F86C1A"/>
    <w:rsid w:val="00F86E1E"/>
    <w:rsid w:val="00F91BAA"/>
    <w:rsid w:val="00F92BD7"/>
    <w:rsid w:val="00F93C24"/>
    <w:rsid w:val="00F95D17"/>
    <w:rsid w:val="00F95EF6"/>
    <w:rsid w:val="00F9671C"/>
    <w:rsid w:val="00FA270F"/>
    <w:rsid w:val="00FA3B6B"/>
    <w:rsid w:val="00FA5C1F"/>
    <w:rsid w:val="00FA6539"/>
    <w:rsid w:val="00FA782F"/>
    <w:rsid w:val="00FB0DF2"/>
    <w:rsid w:val="00FB1871"/>
    <w:rsid w:val="00FB1F99"/>
    <w:rsid w:val="00FB39DE"/>
    <w:rsid w:val="00FC2F66"/>
    <w:rsid w:val="00FC3417"/>
    <w:rsid w:val="00FC3BA5"/>
    <w:rsid w:val="00FC3CBA"/>
    <w:rsid w:val="00FC42E4"/>
    <w:rsid w:val="00FC4443"/>
    <w:rsid w:val="00FC6B42"/>
    <w:rsid w:val="00FC7186"/>
    <w:rsid w:val="00FD0B81"/>
    <w:rsid w:val="00FD0BE6"/>
    <w:rsid w:val="00FD24EA"/>
    <w:rsid w:val="00FD5384"/>
    <w:rsid w:val="00FD6395"/>
    <w:rsid w:val="00FE05E9"/>
    <w:rsid w:val="00FE1087"/>
    <w:rsid w:val="00FE1118"/>
    <w:rsid w:val="00FE4404"/>
    <w:rsid w:val="00FE4616"/>
    <w:rsid w:val="00FE4912"/>
    <w:rsid w:val="00FE49B5"/>
    <w:rsid w:val="00FE6BAD"/>
    <w:rsid w:val="00FF2B1E"/>
    <w:rsid w:val="00FF5013"/>
    <w:rsid w:val="00FF5CE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footnote text" w:locked="1"/>
    <w:lsdException w:name="caption" w:locked="1" w:qFormat="1"/>
    <w:lsdException w:name="footnote reference" w:locked="1"/>
    <w:lsdException w:name="Title" w:locked="1" w:semiHidden="0" w:unhideWhenUsed="0" w:qFormat="1"/>
    <w:lsdException w:name="Default Paragraph Font" w:locked="1" w:uiPriority="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E0F"/>
    <w:rPr>
      <w:rFonts w:ascii="Times New Roman" w:eastAsia="Times New Roman" w:hAnsi="Times New Roman"/>
      <w:sz w:val="24"/>
      <w:szCs w:val="24"/>
    </w:rPr>
  </w:style>
  <w:style w:type="paragraph" w:styleId="Titre1">
    <w:name w:val="heading 1"/>
    <w:basedOn w:val="Normal"/>
    <w:next w:val="Normal"/>
    <w:link w:val="Titre1Car"/>
    <w:uiPriority w:val="99"/>
    <w:qFormat/>
    <w:rsid w:val="002F7DBB"/>
    <w:pPr>
      <w:keepNext/>
      <w:keepLines/>
      <w:spacing w:before="600" w:after="600" w:line="276" w:lineRule="auto"/>
      <w:jc w:val="center"/>
      <w:outlineLvl w:val="0"/>
    </w:pPr>
    <w:rPr>
      <w:rFonts w:ascii="Times New Roman Gras" w:hAnsi="Times New Roman Gras" w:cs="Times New Roman Gras"/>
      <w:b/>
      <w:bCs/>
      <w:smallCaps/>
      <w:color w:val="000000"/>
      <w:sz w:val="28"/>
      <w:szCs w:val="28"/>
    </w:rPr>
  </w:style>
  <w:style w:type="paragraph" w:styleId="Titre2">
    <w:name w:val="heading 2"/>
    <w:basedOn w:val="Normal"/>
    <w:next w:val="Normal"/>
    <w:link w:val="Titre2Car"/>
    <w:uiPriority w:val="99"/>
    <w:qFormat/>
    <w:rsid w:val="00B63E0F"/>
    <w:pPr>
      <w:keepNext/>
      <w:keepLines/>
      <w:spacing w:before="200" w:afterAutospacing="1" w:line="276" w:lineRule="auto"/>
      <w:jc w:val="both"/>
      <w:outlineLvl w:val="1"/>
    </w:pPr>
    <w:rPr>
      <w:b/>
      <w:bCs/>
      <w:color w:val="000000"/>
      <w:sz w:val="26"/>
      <w:szCs w:val="26"/>
    </w:rPr>
  </w:style>
  <w:style w:type="paragraph" w:styleId="Titre3">
    <w:name w:val="heading 3"/>
    <w:basedOn w:val="Normal"/>
    <w:next w:val="Normal"/>
    <w:link w:val="Titre3Car"/>
    <w:uiPriority w:val="99"/>
    <w:qFormat/>
    <w:rsid w:val="00B63E0F"/>
    <w:pPr>
      <w:keepNext/>
      <w:keepLines/>
      <w:spacing w:before="200" w:afterAutospacing="1" w:line="276" w:lineRule="auto"/>
      <w:jc w:val="both"/>
      <w:outlineLvl w:val="2"/>
    </w:pPr>
    <w:rPr>
      <w:b/>
      <w:bCs/>
      <w:color w:val="000000"/>
    </w:rPr>
  </w:style>
  <w:style w:type="paragraph" w:styleId="Titre4">
    <w:name w:val="heading 4"/>
    <w:basedOn w:val="Normal"/>
    <w:next w:val="Normal"/>
    <w:link w:val="Titre4Car"/>
    <w:uiPriority w:val="99"/>
    <w:qFormat/>
    <w:rsid w:val="00B63E0F"/>
    <w:pPr>
      <w:keepNext/>
      <w:keepLines/>
      <w:spacing w:before="200" w:afterAutospacing="1" w:line="276" w:lineRule="auto"/>
      <w:jc w:val="both"/>
      <w:outlineLvl w:val="3"/>
    </w:pPr>
    <w:rPr>
      <w:b/>
      <w:bCs/>
      <w:i/>
      <w:iCs/>
      <w:color w:val="000000"/>
    </w:rPr>
  </w:style>
  <w:style w:type="paragraph" w:styleId="Titre5">
    <w:name w:val="heading 5"/>
    <w:basedOn w:val="Normal"/>
    <w:next w:val="Normal"/>
    <w:link w:val="Titre5Car"/>
    <w:uiPriority w:val="99"/>
    <w:qFormat/>
    <w:rsid w:val="00B63E0F"/>
    <w:pPr>
      <w:keepNext/>
      <w:keepLines/>
      <w:spacing w:before="200" w:afterAutospacing="1" w:line="276" w:lineRule="auto"/>
      <w:jc w:val="both"/>
      <w:outlineLvl w:val="4"/>
    </w:pPr>
    <w:rPr>
      <w:color w:val="0D0D0D"/>
    </w:rPr>
  </w:style>
  <w:style w:type="paragraph" w:styleId="Titre6">
    <w:name w:val="heading 6"/>
    <w:basedOn w:val="Normal"/>
    <w:next w:val="Normal"/>
    <w:link w:val="Titre6Car"/>
    <w:uiPriority w:val="99"/>
    <w:qFormat/>
    <w:rsid w:val="00B63E0F"/>
    <w:pPr>
      <w:keepNext/>
      <w:keepLines/>
      <w:spacing w:before="600" w:after="100" w:afterAutospacing="1" w:line="276" w:lineRule="auto"/>
      <w:jc w:val="center"/>
      <w:outlineLvl w:val="5"/>
    </w:pPr>
    <w:rPr>
      <w:rFonts w:ascii="Times New Roman Gras" w:hAnsi="Times New Roman Gras" w:cs="Times New Roman Gras"/>
      <w:b/>
      <w:bCs/>
      <w:smallCaps/>
      <w:color w:val="000000"/>
      <w:sz w:val="26"/>
      <w:szCs w:val="26"/>
    </w:rPr>
  </w:style>
  <w:style w:type="paragraph" w:styleId="Titre7">
    <w:name w:val="heading 7"/>
    <w:basedOn w:val="Normal"/>
    <w:next w:val="Normal"/>
    <w:link w:val="Titre7Car"/>
    <w:uiPriority w:val="99"/>
    <w:qFormat/>
    <w:rsid w:val="00B63E0F"/>
    <w:pPr>
      <w:keepNext/>
      <w:keepLines/>
      <w:spacing w:before="200" w:after="100" w:afterAutospacing="1" w:line="276" w:lineRule="auto"/>
      <w:jc w:val="both"/>
      <w:outlineLvl w:val="6"/>
    </w:pPr>
    <w:rPr>
      <w:color w:val="000000"/>
    </w:rPr>
  </w:style>
  <w:style w:type="paragraph" w:styleId="Titre8">
    <w:name w:val="heading 8"/>
    <w:basedOn w:val="Normal"/>
    <w:next w:val="Normal"/>
    <w:link w:val="Titre8Car"/>
    <w:uiPriority w:val="99"/>
    <w:qFormat/>
    <w:rsid w:val="00B63E0F"/>
    <w:pPr>
      <w:keepNext/>
      <w:keepLines/>
      <w:spacing w:before="200" w:after="100" w:afterAutospacing="1" w:line="276" w:lineRule="auto"/>
      <w:jc w:val="both"/>
      <w:outlineLvl w:val="7"/>
    </w:pPr>
    <w:rPr>
      <w:color w:val="000000"/>
    </w:rPr>
  </w:style>
  <w:style w:type="paragraph" w:styleId="Titre9">
    <w:name w:val="heading 9"/>
    <w:basedOn w:val="Normal"/>
    <w:next w:val="Normal"/>
    <w:link w:val="Titre9Car"/>
    <w:uiPriority w:val="99"/>
    <w:qFormat/>
    <w:rsid w:val="00B63E0F"/>
    <w:pPr>
      <w:keepNext/>
      <w:keepLines/>
      <w:spacing w:before="200" w:afterAutospacing="1" w:line="276" w:lineRule="auto"/>
      <w:jc w:val="both"/>
      <w:outlineLvl w:val="8"/>
    </w:pPr>
    <w:rPr>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B63E0F"/>
    <w:rPr>
      <w:rFonts w:ascii="Times New Roman Gras" w:eastAsia="Times New Roman" w:hAnsi="Times New Roman Gras" w:cs="Times New Roman Gras"/>
      <w:b/>
      <w:bCs/>
      <w:smallCaps/>
      <w:color w:val="000000"/>
      <w:sz w:val="28"/>
      <w:szCs w:val="28"/>
      <w:lang w:val="fr-FR" w:eastAsia="fr-FR"/>
    </w:rPr>
  </w:style>
  <w:style w:type="character" w:customStyle="1" w:styleId="Titre2Car">
    <w:name w:val="Titre 2 Car"/>
    <w:basedOn w:val="Policepardfaut"/>
    <w:link w:val="Titre2"/>
    <w:uiPriority w:val="99"/>
    <w:locked/>
    <w:rsid w:val="00B63E0F"/>
    <w:rPr>
      <w:rFonts w:eastAsia="Times New Roman"/>
      <w:b/>
      <w:bCs/>
      <w:color w:val="000000"/>
      <w:sz w:val="26"/>
      <w:szCs w:val="26"/>
      <w:lang w:val="fr-FR" w:eastAsia="fr-FR"/>
    </w:rPr>
  </w:style>
  <w:style w:type="character" w:customStyle="1" w:styleId="Titre3Car">
    <w:name w:val="Titre 3 Car"/>
    <w:basedOn w:val="Policepardfaut"/>
    <w:link w:val="Titre3"/>
    <w:uiPriority w:val="99"/>
    <w:locked/>
    <w:rsid w:val="00B63E0F"/>
    <w:rPr>
      <w:rFonts w:eastAsia="Times New Roman"/>
      <w:b/>
      <w:bCs/>
      <w:color w:val="000000"/>
      <w:sz w:val="22"/>
      <w:szCs w:val="22"/>
      <w:lang w:val="fr-FR" w:eastAsia="fr-FR"/>
    </w:rPr>
  </w:style>
  <w:style w:type="character" w:customStyle="1" w:styleId="Titre4Car">
    <w:name w:val="Titre 4 Car"/>
    <w:basedOn w:val="Policepardfaut"/>
    <w:link w:val="Titre4"/>
    <w:uiPriority w:val="99"/>
    <w:locked/>
    <w:rsid w:val="00B63E0F"/>
    <w:rPr>
      <w:rFonts w:eastAsia="Times New Roman"/>
      <w:b/>
      <w:bCs/>
      <w:i/>
      <w:iCs/>
      <w:color w:val="000000"/>
      <w:sz w:val="22"/>
      <w:szCs w:val="22"/>
      <w:lang w:val="fr-FR" w:eastAsia="fr-FR"/>
    </w:rPr>
  </w:style>
  <w:style w:type="character" w:customStyle="1" w:styleId="Titre5Car">
    <w:name w:val="Titre 5 Car"/>
    <w:basedOn w:val="Policepardfaut"/>
    <w:link w:val="Titre5"/>
    <w:uiPriority w:val="99"/>
    <w:locked/>
    <w:rsid w:val="00B63E0F"/>
    <w:rPr>
      <w:rFonts w:eastAsia="Times New Roman"/>
      <w:color w:val="0D0D0D"/>
      <w:sz w:val="22"/>
      <w:szCs w:val="22"/>
      <w:lang w:val="fr-FR" w:eastAsia="fr-FR"/>
    </w:rPr>
  </w:style>
  <w:style w:type="character" w:customStyle="1" w:styleId="Titre6Car">
    <w:name w:val="Titre 6 Car"/>
    <w:basedOn w:val="Policepardfaut"/>
    <w:link w:val="Titre6"/>
    <w:uiPriority w:val="99"/>
    <w:locked/>
    <w:rsid w:val="00B63E0F"/>
    <w:rPr>
      <w:rFonts w:ascii="Times New Roman Gras" w:eastAsia="Times New Roman" w:hAnsi="Times New Roman Gras" w:cs="Times New Roman Gras"/>
      <w:b/>
      <w:bCs/>
      <w:smallCaps/>
      <w:color w:val="000000"/>
      <w:sz w:val="22"/>
      <w:szCs w:val="22"/>
      <w:lang w:val="fr-FR" w:eastAsia="fr-FR"/>
    </w:rPr>
  </w:style>
  <w:style w:type="character" w:customStyle="1" w:styleId="Titre7Car">
    <w:name w:val="Titre 7 Car"/>
    <w:basedOn w:val="Policepardfaut"/>
    <w:link w:val="Titre7"/>
    <w:uiPriority w:val="99"/>
    <w:locked/>
    <w:rsid w:val="00B63E0F"/>
    <w:rPr>
      <w:rFonts w:eastAsia="Times New Roman"/>
      <w:color w:val="000000"/>
      <w:sz w:val="22"/>
      <w:szCs w:val="22"/>
      <w:lang w:val="fr-FR" w:eastAsia="fr-FR"/>
    </w:rPr>
  </w:style>
  <w:style w:type="character" w:customStyle="1" w:styleId="Titre8Car">
    <w:name w:val="Titre 8 Car"/>
    <w:basedOn w:val="Policepardfaut"/>
    <w:link w:val="Titre8"/>
    <w:uiPriority w:val="99"/>
    <w:locked/>
    <w:rsid w:val="00B63E0F"/>
    <w:rPr>
      <w:rFonts w:eastAsia="Times New Roman"/>
      <w:color w:val="000000"/>
      <w:sz w:val="24"/>
      <w:szCs w:val="24"/>
      <w:lang w:val="fr-FR" w:eastAsia="fr-FR"/>
    </w:rPr>
  </w:style>
  <w:style w:type="character" w:customStyle="1" w:styleId="Titre9Car">
    <w:name w:val="Titre 9 Car"/>
    <w:basedOn w:val="Policepardfaut"/>
    <w:link w:val="Titre9"/>
    <w:uiPriority w:val="99"/>
    <w:locked/>
    <w:rsid w:val="00B63E0F"/>
    <w:rPr>
      <w:rFonts w:eastAsia="Times New Roman"/>
      <w:color w:val="000000"/>
      <w:sz w:val="24"/>
      <w:szCs w:val="24"/>
      <w:lang w:val="fr-FR" w:eastAsia="fr-FR"/>
    </w:rPr>
  </w:style>
  <w:style w:type="paragraph" w:styleId="Paragraphedeliste">
    <w:name w:val="List Paragraph"/>
    <w:basedOn w:val="Normal"/>
    <w:link w:val="ParagraphedelisteCar"/>
    <w:uiPriority w:val="99"/>
    <w:qFormat/>
    <w:rsid w:val="00B63E0F"/>
    <w:pPr>
      <w:ind w:left="720"/>
    </w:pPr>
  </w:style>
  <w:style w:type="paragraph" w:styleId="Pieddepage">
    <w:name w:val="footer"/>
    <w:basedOn w:val="Normal"/>
    <w:link w:val="PieddepageCar"/>
    <w:uiPriority w:val="99"/>
    <w:rsid w:val="00B63E0F"/>
    <w:pPr>
      <w:tabs>
        <w:tab w:val="center" w:pos="4536"/>
        <w:tab w:val="right" w:pos="9072"/>
      </w:tabs>
    </w:pPr>
  </w:style>
  <w:style w:type="character" w:customStyle="1" w:styleId="PieddepageCar">
    <w:name w:val="Pied de page Car"/>
    <w:basedOn w:val="Policepardfaut"/>
    <w:link w:val="Pieddepage"/>
    <w:uiPriority w:val="99"/>
    <w:locked/>
    <w:rsid w:val="00B63E0F"/>
    <w:rPr>
      <w:rFonts w:ascii="Times New Roman" w:hAnsi="Times New Roman" w:cs="Times New Roman"/>
      <w:sz w:val="24"/>
      <w:szCs w:val="24"/>
      <w:lang w:val="fr-FR" w:eastAsia="fr-FR"/>
    </w:rPr>
  </w:style>
  <w:style w:type="character" w:styleId="Lienhypertexte">
    <w:name w:val="Hyperlink"/>
    <w:basedOn w:val="Policepardfaut"/>
    <w:uiPriority w:val="99"/>
    <w:rsid w:val="00B63E0F"/>
    <w:rPr>
      <w:color w:val="0000FF"/>
      <w:u w:val="single"/>
    </w:rPr>
  </w:style>
  <w:style w:type="character" w:customStyle="1" w:styleId="ParagraphedelisteCar">
    <w:name w:val="Paragraphe de liste Car"/>
    <w:link w:val="Paragraphedeliste"/>
    <w:uiPriority w:val="99"/>
    <w:locked/>
    <w:rsid w:val="00B63E0F"/>
    <w:rPr>
      <w:rFonts w:ascii="Times New Roman" w:hAnsi="Times New Roman" w:cs="Times New Roman"/>
      <w:sz w:val="24"/>
      <w:szCs w:val="24"/>
      <w:lang w:val="fr-FR" w:eastAsia="fr-FR"/>
    </w:rPr>
  </w:style>
  <w:style w:type="paragraph" w:styleId="En-tte">
    <w:name w:val="header"/>
    <w:basedOn w:val="Normal"/>
    <w:link w:val="En-tteCar"/>
    <w:uiPriority w:val="99"/>
    <w:rsid w:val="00B63E0F"/>
    <w:pPr>
      <w:tabs>
        <w:tab w:val="center" w:pos="4536"/>
        <w:tab w:val="right" w:pos="9072"/>
      </w:tabs>
      <w:spacing w:before="240" w:after="100" w:afterAutospacing="1" w:line="276" w:lineRule="auto"/>
      <w:jc w:val="both"/>
    </w:pPr>
    <w:rPr>
      <w:color w:val="000000"/>
    </w:rPr>
  </w:style>
  <w:style w:type="character" w:customStyle="1" w:styleId="En-tteCar">
    <w:name w:val="En-tête Car"/>
    <w:basedOn w:val="Policepardfaut"/>
    <w:link w:val="En-tte"/>
    <w:uiPriority w:val="99"/>
    <w:locked/>
    <w:rsid w:val="00B63E0F"/>
    <w:rPr>
      <w:rFonts w:ascii="Times New Roman" w:hAnsi="Times New Roman" w:cs="Times New Roman"/>
      <w:color w:val="000000"/>
      <w:sz w:val="24"/>
      <w:szCs w:val="24"/>
      <w:lang w:val="fr-FR" w:eastAsia="fr-FR"/>
    </w:rPr>
  </w:style>
  <w:style w:type="paragraph" w:styleId="Textedebulles">
    <w:name w:val="Balloon Text"/>
    <w:basedOn w:val="Normal"/>
    <w:link w:val="TextedebullesCar"/>
    <w:uiPriority w:val="99"/>
    <w:semiHidden/>
    <w:rsid w:val="00B63E0F"/>
    <w:pPr>
      <w:spacing w:afterAutospacing="1"/>
      <w:jc w:val="both"/>
    </w:pPr>
    <w:rPr>
      <w:rFonts w:ascii="Tahoma" w:hAnsi="Tahoma" w:cs="Tahoma"/>
      <w:color w:val="000000"/>
      <w:sz w:val="16"/>
      <w:szCs w:val="16"/>
    </w:rPr>
  </w:style>
  <w:style w:type="character" w:customStyle="1" w:styleId="TextedebullesCar">
    <w:name w:val="Texte de bulles Car"/>
    <w:basedOn w:val="Policepardfaut"/>
    <w:link w:val="Textedebulles"/>
    <w:uiPriority w:val="99"/>
    <w:semiHidden/>
    <w:locked/>
    <w:rsid w:val="00B63E0F"/>
    <w:rPr>
      <w:rFonts w:ascii="Tahoma" w:hAnsi="Tahoma" w:cs="Tahoma"/>
      <w:color w:val="000000"/>
      <w:sz w:val="16"/>
      <w:szCs w:val="16"/>
      <w:lang w:val="fr-FR" w:eastAsia="fr-FR"/>
    </w:rPr>
  </w:style>
  <w:style w:type="character" w:styleId="Textedelespacerserv">
    <w:name w:val="Placeholder Text"/>
    <w:basedOn w:val="Policepardfaut"/>
    <w:uiPriority w:val="99"/>
    <w:semiHidden/>
    <w:rsid w:val="00B63E0F"/>
    <w:rPr>
      <w:color w:val="808080"/>
    </w:rPr>
  </w:style>
  <w:style w:type="paragraph" w:styleId="Titre">
    <w:name w:val="Title"/>
    <w:basedOn w:val="Normal"/>
    <w:next w:val="Normal"/>
    <w:link w:val="TitreCar"/>
    <w:uiPriority w:val="99"/>
    <w:qFormat/>
    <w:rsid w:val="002F7DBB"/>
    <w:pPr>
      <w:spacing w:before="600" w:after="600"/>
      <w:jc w:val="both"/>
    </w:pPr>
    <w:rPr>
      <w:rFonts w:ascii="Tw Cen MT" w:hAnsi="Tw Cen MT"/>
      <w:b/>
      <w:bCs/>
      <w:smallCaps/>
      <w:color w:val="000000"/>
      <w:spacing w:val="5"/>
      <w:kern w:val="28"/>
      <w:sz w:val="26"/>
      <w:szCs w:val="40"/>
    </w:rPr>
  </w:style>
  <w:style w:type="character" w:customStyle="1" w:styleId="TitreCar">
    <w:name w:val="Titre Car"/>
    <w:basedOn w:val="Policepardfaut"/>
    <w:link w:val="Titre"/>
    <w:uiPriority w:val="99"/>
    <w:locked/>
    <w:rsid w:val="002F7DBB"/>
    <w:rPr>
      <w:rFonts w:ascii="Tw Cen MT" w:eastAsia="Times New Roman" w:hAnsi="Tw Cen MT"/>
      <w:b/>
      <w:bCs/>
      <w:smallCaps/>
      <w:color w:val="000000"/>
      <w:spacing w:val="5"/>
      <w:kern w:val="28"/>
      <w:sz w:val="26"/>
      <w:szCs w:val="40"/>
    </w:rPr>
  </w:style>
  <w:style w:type="paragraph" w:styleId="Sous-titre">
    <w:name w:val="Subtitle"/>
    <w:basedOn w:val="Normal"/>
    <w:next w:val="Normal"/>
    <w:link w:val="Sous-titreCar"/>
    <w:uiPriority w:val="99"/>
    <w:qFormat/>
    <w:rsid w:val="00B63E0F"/>
    <w:pPr>
      <w:numPr>
        <w:ilvl w:val="1"/>
      </w:numPr>
      <w:spacing w:before="240" w:after="100" w:afterAutospacing="1" w:line="276" w:lineRule="auto"/>
      <w:jc w:val="both"/>
    </w:pPr>
    <w:rPr>
      <w:rFonts w:ascii="Cambria" w:hAnsi="Cambria" w:cs="Cambria"/>
      <w:i/>
      <w:iCs/>
      <w:color w:val="4F81BD"/>
      <w:spacing w:val="15"/>
    </w:rPr>
  </w:style>
  <w:style w:type="character" w:customStyle="1" w:styleId="Sous-titreCar">
    <w:name w:val="Sous-titre Car"/>
    <w:basedOn w:val="Policepardfaut"/>
    <w:link w:val="Sous-titre"/>
    <w:uiPriority w:val="99"/>
    <w:locked/>
    <w:rsid w:val="00B63E0F"/>
    <w:rPr>
      <w:rFonts w:ascii="Cambria" w:hAnsi="Cambria" w:cs="Cambria"/>
      <w:i/>
      <w:iCs/>
      <w:color w:val="4F81BD"/>
      <w:spacing w:val="15"/>
      <w:sz w:val="24"/>
      <w:szCs w:val="24"/>
      <w:lang w:val="fr-FR" w:eastAsia="fr-FR"/>
    </w:rPr>
  </w:style>
  <w:style w:type="paragraph" w:customStyle="1" w:styleId="Partietiquette">
    <w:name w:val="Partie (étiquette)"/>
    <w:basedOn w:val="Normal"/>
    <w:next w:val="Normal"/>
    <w:uiPriority w:val="99"/>
    <w:rsid w:val="00B63E0F"/>
    <w:pPr>
      <w:framePr w:w="2045" w:hSpace="187" w:vSpace="187" w:wrap="notBeside" w:vAnchor="page" w:hAnchor="margin" w:xAlign="right" w:y="966"/>
      <w:shd w:val="pct20" w:color="auto" w:fill="auto"/>
      <w:spacing w:before="320" w:line="1560" w:lineRule="exact"/>
      <w:jc w:val="center"/>
    </w:pPr>
    <w:rPr>
      <w:rFonts w:ascii="Arial Black" w:hAnsi="Arial Black" w:cs="Arial Black"/>
      <w:color w:val="FFFFFF"/>
      <w:sz w:val="196"/>
      <w:szCs w:val="196"/>
    </w:rPr>
  </w:style>
  <w:style w:type="paragraph" w:customStyle="1" w:styleId="Partietitre">
    <w:name w:val="Partie (titre)"/>
    <w:basedOn w:val="Normal"/>
    <w:next w:val="Partietiquette"/>
    <w:uiPriority w:val="99"/>
    <w:rsid w:val="00B63E0F"/>
    <w:pPr>
      <w:keepNext/>
      <w:pageBreakBefore/>
      <w:framePr w:w="2045" w:hSpace="187" w:vSpace="187" w:wrap="notBeside" w:vAnchor="page" w:hAnchor="margin" w:xAlign="right" w:y="966"/>
      <w:shd w:val="pct20" w:color="auto" w:fill="auto"/>
      <w:spacing w:line="480" w:lineRule="exact"/>
      <w:jc w:val="center"/>
    </w:pPr>
    <w:rPr>
      <w:rFonts w:ascii="Arial Black" w:hAnsi="Arial Black" w:cs="Arial Black"/>
      <w:color w:val="000000"/>
      <w:spacing w:val="-50"/>
      <w:sz w:val="36"/>
      <w:szCs w:val="36"/>
    </w:rPr>
  </w:style>
  <w:style w:type="paragraph" w:styleId="TM1">
    <w:name w:val="toc 1"/>
    <w:basedOn w:val="Normal"/>
    <w:next w:val="Normal"/>
    <w:autoRedefine/>
    <w:uiPriority w:val="39"/>
    <w:rsid w:val="00B63E0F"/>
    <w:pPr>
      <w:spacing w:before="240" w:after="100" w:afterAutospacing="1" w:line="276" w:lineRule="auto"/>
      <w:jc w:val="both"/>
    </w:pPr>
    <w:rPr>
      <w:color w:val="000000"/>
    </w:rPr>
  </w:style>
  <w:style w:type="paragraph" w:styleId="TM2">
    <w:name w:val="toc 2"/>
    <w:basedOn w:val="Normal"/>
    <w:next w:val="Normal"/>
    <w:autoRedefine/>
    <w:uiPriority w:val="39"/>
    <w:rsid w:val="00B63E0F"/>
    <w:pPr>
      <w:spacing w:before="240" w:after="100" w:afterAutospacing="1" w:line="276" w:lineRule="auto"/>
      <w:ind w:left="240"/>
      <w:jc w:val="both"/>
    </w:pPr>
    <w:rPr>
      <w:color w:val="000000"/>
    </w:rPr>
  </w:style>
  <w:style w:type="paragraph" w:styleId="TM3">
    <w:name w:val="toc 3"/>
    <w:basedOn w:val="Normal"/>
    <w:next w:val="Normal"/>
    <w:autoRedefine/>
    <w:uiPriority w:val="39"/>
    <w:rsid w:val="00B63E0F"/>
    <w:pPr>
      <w:tabs>
        <w:tab w:val="left" w:pos="1320"/>
        <w:tab w:val="right" w:leader="dot" w:pos="9062"/>
      </w:tabs>
      <w:spacing w:before="240" w:after="100" w:afterAutospacing="1" w:line="276" w:lineRule="auto"/>
      <w:ind w:left="480"/>
      <w:jc w:val="both"/>
    </w:pPr>
    <w:rPr>
      <w:color w:val="000000"/>
    </w:rPr>
  </w:style>
  <w:style w:type="table" w:styleId="Grilledutableau">
    <w:name w:val="Table Grid"/>
    <w:basedOn w:val="TableauNormal"/>
    <w:uiPriority w:val="39"/>
    <w:rsid w:val="00B63E0F"/>
    <w:rPr>
      <w:rFonts w:eastAsia="Times New Roman"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cimalAligned">
    <w:name w:val="Decimal Aligned"/>
    <w:basedOn w:val="Normal"/>
    <w:uiPriority w:val="99"/>
    <w:rsid w:val="00B63E0F"/>
    <w:pPr>
      <w:tabs>
        <w:tab w:val="decimal" w:pos="360"/>
      </w:tabs>
      <w:spacing w:after="200" w:line="276" w:lineRule="auto"/>
      <w:jc w:val="center"/>
    </w:pPr>
    <w:rPr>
      <w:color w:val="000000"/>
      <w:sz w:val="22"/>
      <w:szCs w:val="22"/>
      <w:lang w:eastAsia="en-US"/>
    </w:rPr>
  </w:style>
  <w:style w:type="paragraph" w:styleId="Notedebasdepage">
    <w:name w:val="footnote text"/>
    <w:aliases w:val="ft,single space,Footnote Text Char Char,Footnote Text Char1 Char,Footnote Text Char1 Char Char1 Char,Footnote Text Char Char Char Char1 Char,ft Char Char Char Char Char,Footnote Text Char1 Char1 Char Char,Geneva 9,Font: Geneva 9,f,fn"/>
    <w:basedOn w:val="Normal"/>
    <w:link w:val="NotedebasdepageCar"/>
    <w:uiPriority w:val="99"/>
    <w:semiHidden/>
    <w:rsid w:val="00B63E0F"/>
    <w:pPr>
      <w:jc w:val="both"/>
    </w:pPr>
    <w:rPr>
      <w:color w:val="000000"/>
      <w:sz w:val="20"/>
      <w:szCs w:val="20"/>
      <w:lang w:eastAsia="en-US"/>
    </w:rPr>
  </w:style>
  <w:style w:type="character" w:customStyle="1" w:styleId="NotedebasdepageCar">
    <w:name w:val="Note de bas de page Car"/>
    <w:aliases w:val="ft Car,single space Car,Footnote Text Char Char Car,Footnote Text Char1 Char Car,Footnote Text Char1 Char Char1 Char Car,Footnote Text Char Char Char Char1 Char Car,ft Char Char Char Char Char Car,Geneva 9 Car,Font: Geneva 9 Car"/>
    <w:basedOn w:val="Policepardfaut"/>
    <w:link w:val="Notedebasdepage"/>
    <w:uiPriority w:val="99"/>
    <w:locked/>
    <w:rsid w:val="00B63E0F"/>
    <w:rPr>
      <w:rFonts w:ascii="Times New Roman" w:hAnsi="Times New Roman" w:cs="Times New Roman"/>
      <w:color w:val="000000"/>
      <w:sz w:val="20"/>
      <w:szCs w:val="20"/>
      <w:lang w:val="fr-FR"/>
    </w:rPr>
  </w:style>
  <w:style w:type="character" w:styleId="Emphaseple">
    <w:name w:val="Subtle Emphasis"/>
    <w:basedOn w:val="Policepardfaut"/>
    <w:uiPriority w:val="99"/>
    <w:qFormat/>
    <w:rsid w:val="00B63E0F"/>
    <w:rPr>
      <w:rFonts w:eastAsia="Times New Roman"/>
      <w:i/>
      <w:iCs/>
      <w:color w:val="808080"/>
      <w:sz w:val="22"/>
      <w:szCs w:val="22"/>
      <w:lang w:val="fr-FR"/>
    </w:rPr>
  </w:style>
  <w:style w:type="table" w:customStyle="1" w:styleId="Trameclaire-Accent11">
    <w:name w:val="Trame claire - Accent 11"/>
    <w:uiPriority w:val="99"/>
    <w:rsid w:val="00B63E0F"/>
    <w:rPr>
      <w:rFonts w:eastAsia="Times New Roman" w:cs="Calibri"/>
      <w:color w:val="365F91"/>
      <w:sz w:val="20"/>
      <w:szCs w:val="20"/>
      <w:lang w:val="fr-CA" w:eastAsia="fr-CA"/>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gende">
    <w:name w:val="caption"/>
    <w:basedOn w:val="Normal"/>
    <w:next w:val="Normal"/>
    <w:uiPriority w:val="99"/>
    <w:qFormat/>
    <w:rsid w:val="00B63E0F"/>
    <w:pPr>
      <w:spacing w:after="200" w:afterAutospacing="1"/>
      <w:jc w:val="both"/>
    </w:pPr>
    <w:rPr>
      <w:color w:val="000000"/>
    </w:rPr>
  </w:style>
  <w:style w:type="paragraph" w:styleId="Tabledesillustrations">
    <w:name w:val="table of figures"/>
    <w:basedOn w:val="Normal"/>
    <w:next w:val="Normal"/>
    <w:uiPriority w:val="99"/>
    <w:rsid w:val="00B63E0F"/>
    <w:pPr>
      <w:spacing w:before="240" w:afterAutospacing="1" w:line="276" w:lineRule="auto"/>
      <w:jc w:val="both"/>
    </w:pPr>
    <w:rPr>
      <w:color w:val="000000"/>
    </w:rPr>
  </w:style>
  <w:style w:type="character" w:styleId="Marquedecommentaire">
    <w:name w:val="annotation reference"/>
    <w:basedOn w:val="Policepardfaut"/>
    <w:uiPriority w:val="99"/>
    <w:semiHidden/>
    <w:rsid w:val="00B63E0F"/>
    <w:rPr>
      <w:sz w:val="16"/>
      <w:szCs w:val="16"/>
    </w:rPr>
  </w:style>
  <w:style w:type="paragraph" w:styleId="Commentaire">
    <w:name w:val="annotation text"/>
    <w:basedOn w:val="Normal"/>
    <w:link w:val="CommentaireCar"/>
    <w:uiPriority w:val="99"/>
    <w:semiHidden/>
    <w:rsid w:val="00B63E0F"/>
    <w:pPr>
      <w:spacing w:before="240" w:after="100" w:afterAutospacing="1"/>
      <w:jc w:val="both"/>
    </w:pPr>
    <w:rPr>
      <w:color w:val="000000"/>
      <w:sz w:val="20"/>
      <w:szCs w:val="20"/>
    </w:rPr>
  </w:style>
  <w:style w:type="character" w:customStyle="1" w:styleId="CommentaireCar">
    <w:name w:val="Commentaire Car"/>
    <w:basedOn w:val="Policepardfaut"/>
    <w:link w:val="Commentaire"/>
    <w:uiPriority w:val="99"/>
    <w:semiHidden/>
    <w:locked/>
    <w:rsid w:val="00B63E0F"/>
    <w:rPr>
      <w:rFonts w:ascii="Times New Roman" w:hAnsi="Times New Roman" w:cs="Times New Roman"/>
      <w:color w:val="000000"/>
      <w:sz w:val="20"/>
      <w:szCs w:val="20"/>
      <w:lang w:val="fr-FR" w:eastAsia="fr-FR"/>
    </w:rPr>
  </w:style>
  <w:style w:type="paragraph" w:styleId="Objetducommentaire">
    <w:name w:val="annotation subject"/>
    <w:basedOn w:val="Commentaire"/>
    <w:next w:val="Commentaire"/>
    <w:link w:val="ObjetducommentaireCar"/>
    <w:uiPriority w:val="99"/>
    <w:semiHidden/>
    <w:rsid w:val="00B63E0F"/>
    <w:rPr>
      <w:b/>
      <w:bCs/>
    </w:rPr>
  </w:style>
  <w:style w:type="character" w:customStyle="1" w:styleId="ObjetducommentaireCar">
    <w:name w:val="Objet du commentaire Car"/>
    <w:basedOn w:val="CommentaireCar"/>
    <w:link w:val="Objetducommentaire"/>
    <w:uiPriority w:val="99"/>
    <w:semiHidden/>
    <w:locked/>
    <w:rsid w:val="00B63E0F"/>
    <w:rPr>
      <w:rFonts w:ascii="Times New Roman" w:hAnsi="Times New Roman" w:cs="Times New Roman"/>
      <w:b/>
      <w:bCs/>
      <w:color w:val="000000"/>
      <w:sz w:val="20"/>
      <w:szCs w:val="20"/>
      <w:lang w:val="fr-FR" w:eastAsia="fr-FR"/>
    </w:rPr>
  </w:style>
  <w:style w:type="character" w:styleId="Appelnotedebasdep">
    <w:name w:val="footnote reference"/>
    <w:aliases w:val="ftref,Char Char,16 Point,Superscript 6 Point"/>
    <w:basedOn w:val="Policepardfaut"/>
    <w:uiPriority w:val="99"/>
    <w:rsid w:val="00B63E0F"/>
    <w:rPr>
      <w:vertAlign w:val="superscript"/>
    </w:rPr>
  </w:style>
  <w:style w:type="character" w:styleId="Lienhypertextesuivivisit">
    <w:name w:val="FollowedHyperlink"/>
    <w:basedOn w:val="Policepardfaut"/>
    <w:uiPriority w:val="99"/>
    <w:semiHidden/>
    <w:rsid w:val="00B63E0F"/>
    <w:rPr>
      <w:color w:val="800080"/>
      <w:u w:val="single"/>
    </w:rPr>
  </w:style>
  <w:style w:type="paragraph" w:customStyle="1" w:styleId="xl65">
    <w:name w:val="xl65"/>
    <w:basedOn w:val="Normal"/>
    <w:uiPriority w:val="99"/>
    <w:rsid w:val="00B63E0F"/>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66">
    <w:name w:val="xl66"/>
    <w:basedOn w:val="Normal"/>
    <w:uiPriority w:val="99"/>
    <w:rsid w:val="00B63E0F"/>
    <w:pPr>
      <w:pBdr>
        <w:top w:val="single" w:sz="4" w:space="0" w:color="000000"/>
        <w:left w:val="single" w:sz="8" w:space="0" w:color="000000"/>
        <w:bottom w:val="single" w:sz="8"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67">
    <w:name w:val="xl67"/>
    <w:basedOn w:val="Normal"/>
    <w:uiPriority w:val="99"/>
    <w:rsid w:val="00B63E0F"/>
    <w:pPr>
      <w:pBdr>
        <w:top w:val="single" w:sz="8" w:space="0" w:color="000000"/>
        <w:right w:val="single" w:sz="8" w:space="0" w:color="000000"/>
      </w:pBdr>
      <w:spacing w:before="100" w:beforeAutospacing="1" w:after="100" w:afterAutospacing="1"/>
      <w:jc w:val="both"/>
      <w:textAlignment w:val="top"/>
    </w:pPr>
    <w:rPr>
      <w:rFonts w:ascii="Arial" w:hAnsi="Arial" w:cs="Arial"/>
      <w:color w:val="000000"/>
      <w:sz w:val="18"/>
      <w:szCs w:val="18"/>
    </w:rPr>
  </w:style>
  <w:style w:type="paragraph" w:customStyle="1" w:styleId="xl68">
    <w:name w:val="xl68"/>
    <w:basedOn w:val="Normal"/>
    <w:uiPriority w:val="99"/>
    <w:rsid w:val="00B63E0F"/>
    <w:pPr>
      <w:pBdr>
        <w:top w:val="single" w:sz="8" w:space="0" w:color="000000"/>
        <w:left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69">
    <w:name w:val="xl69"/>
    <w:basedOn w:val="Normal"/>
    <w:uiPriority w:val="99"/>
    <w:rsid w:val="00B63E0F"/>
    <w:pPr>
      <w:pBdr>
        <w:top w:val="single" w:sz="8" w:space="0" w:color="000000"/>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0">
    <w:name w:val="xl70"/>
    <w:basedOn w:val="Normal"/>
    <w:uiPriority w:val="99"/>
    <w:rsid w:val="00B63E0F"/>
    <w:pPr>
      <w:pBdr>
        <w:top w:val="single" w:sz="8" w:space="0" w:color="000000"/>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1">
    <w:name w:val="xl71"/>
    <w:basedOn w:val="Normal"/>
    <w:uiPriority w:val="99"/>
    <w:rsid w:val="00B63E0F"/>
    <w:pPr>
      <w:pBdr>
        <w:top w:val="single" w:sz="8" w:space="0" w:color="000000"/>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2">
    <w:name w:val="xl72"/>
    <w:basedOn w:val="Normal"/>
    <w:uiPriority w:val="99"/>
    <w:rsid w:val="00B63E0F"/>
    <w:pPr>
      <w:pBdr>
        <w:top w:val="single" w:sz="8" w:space="0" w:color="000000"/>
        <w:left w:val="single" w:sz="4" w:space="0" w:color="000000"/>
        <w:right w:val="single" w:sz="8"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3">
    <w:name w:val="xl73"/>
    <w:basedOn w:val="Normal"/>
    <w:uiPriority w:val="99"/>
    <w:rsid w:val="00B63E0F"/>
    <w:pPr>
      <w:pBdr>
        <w:right w:val="single" w:sz="8" w:space="0" w:color="000000"/>
      </w:pBdr>
      <w:spacing w:before="100" w:beforeAutospacing="1" w:after="100" w:afterAutospacing="1"/>
      <w:jc w:val="both"/>
      <w:textAlignment w:val="top"/>
    </w:pPr>
    <w:rPr>
      <w:rFonts w:ascii="Arial" w:hAnsi="Arial" w:cs="Arial"/>
      <w:color w:val="000000"/>
      <w:sz w:val="18"/>
      <w:szCs w:val="18"/>
    </w:rPr>
  </w:style>
  <w:style w:type="paragraph" w:customStyle="1" w:styleId="xl74">
    <w:name w:val="xl74"/>
    <w:basedOn w:val="Normal"/>
    <w:uiPriority w:val="99"/>
    <w:rsid w:val="00B63E0F"/>
    <w:pPr>
      <w:pBdr>
        <w:left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5">
    <w:name w:val="xl75"/>
    <w:basedOn w:val="Normal"/>
    <w:uiPriority w:val="99"/>
    <w:rsid w:val="00B63E0F"/>
    <w:pPr>
      <w:pBdr>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6">
    <w:name w:val="xl76"/>
    <w:basedOn w:val="Normal"/>
    <w:uiPriority w:val="99"/>
    <w:rsid w:val="00B63E0F"/>
    <w:pPr>
      <w:pBdr>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7">
    <w:name w:val="xl77"/>
    <w:basedOn w:val="Normal"/>
    <w:uiPriority w:val="99"/>
    <w:rsid w:val="00B63E0F"/>
    <w:pPr>
      <w:pBdr>
        <w:left w:val="single" w:sz="4" w:space="0" w:color="000000"/>
        <w:right w:val="single" w:sz="8"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8">
    <w:name w:val="xl78"/>
    <w:basedOn w:val="Normal"/>
    <w:uiPriority w:val="99"/>
    <w:rsid w:val="00B63E0F"/>
    <w:pPr>
      <w:pBdr>
        <w:left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79">
    <w:name w:val="xl79"/>
    <w:basedOn w:val="Normal"/>
    <w:uiPriority w:val="99"/>
    <w:rsid w:val="00B63E0F"/>
    <w:pPr>
      <w:pBdr>
        <w:left w:val="single" w:sz="4"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0">
    <w:name w:val="xl80"/>
    <w:basedOn w:val="Normal"/>
    <w:uiPriority w:val="99"/>
    <w:rsid w:val="00B63E0F"/>
    <w:pPr>
      <w:pBdr>
        <w:left w:val="single" w:sz="8"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1">
    <w:name w:val="xl81"/>
    <w:basedOn w:val="Normal"/>
    <w:uiPriority w:val="99"/>
    <w:rsid w:val="00B63E0F"/>
    <w:pPr>
      <w:pBdr>
        <w:left w:val="single" w:sz="4"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2">
    <w:name w:val="xl82"/>
    <w:basedOn w:val="Normal"/>
    <w:uiPriority w:val="99"/>
    <w:rsid w:val="00B63E0F"/>
    <w:pPr>
      <w:pBdr>
        <w:left w:val="single" w:sz="4" w:space="0" w:color="000000"/>
        <w:bottom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3">
    <w:name w:val="xl83"/>
    <w:basedOn w:val="Normal"/>
    <w:uiPriority w:val="99"/>
    <w:rsid w:val="00B63E0F"/>
    <w:pPr>
      <w:pBdr>
        <w:left w:val="single" w:sz="4" w:space="0" w:color="000000"/>
        <w:bottom w:val="single" w:sz="8" w:space="0" w:color="000000"/>
        <w:right w:val="single" w:sz="8"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4">
    <w:name w:val="xl84"/>
    <w:basedOn w:val="Normal"/>
    <w:uiPriority w:val="99"/>
    <w:rsid w:val="00B63E0F"/>
    <w:pPr>
      <w:pBdr>
        <w:top w:val="single" w:sz="8" w:space="0" w:color="000000"/>
        <w:left w:val="single" w:sz="8" w:space="0" w:color="000000"/>
        <w:right w:val="single" w:sz="4" w:space="0" w:color="000000"/>
      </w:pBdr>
      <w:spacing w:before="100" w:beforeAutospacing="1" w:after="100" w:afterAutospacing="1"/>
      <w:jc w:val="right"/>
      <w:textAlignment w:val="top"/>
    </w:pPr>
    <w:rPr>
      <w:rFonts w:ascii="Arial" w:hAnsi="Arial" w:cs="Arial"/>
      <w:color w:val="000000"/>
      <w:sz w:val="18"/>
      <w:szCs w:val="18"/>
    </w:rPr>
  </w:style>
  <w:style w:type="paragraph" w:customStyle="1" w:styleId="xl85">
    <w:name w:val="xl85"/>
    <w:basedOn w:val="Normal"/>
    <w:uiPriority w:val="99"/>
    <w:rsid w:val="00B63E0F"/>
    <w:pPr>
      <w:spacing w:before="100" w:beforeAutospacing="1" w:after="100" w:afterAutospacing="1"/>
      <w:jc w:val="both"/>
      <w:textAlignment w:val="top"/>
    </w:pPr>
    <w:rPr>
      <w:rFonts w:ascii="Arial" w:hAnsi="Arial" w:cs="Arial"/>
      <w:color w:val="000000"/>
      <w:sz w:val="18"/>
      <w:szCs w:val="18"/>
    </w:rPr>
  </w:style>
  <w:style w:type="paragraph" w:customStyle="1" w:styleId="xl86">
    <w:name w:val="xl86"/>
    <w:basedOn w:val="Normal"/>
    <w:uiPriority w:val="99"/>
    <w:rsid w:val="00B63E0F"/>
    <w:pPr>
      <w:spacing w:before="100" w:beforeAutospacing="1" w:after="100" w:afterAutospacing="1"/>
      <w:jc w:val="center"/>
      <w:textAlignment w:val="center"/>
    </w:pPr>
  </w:style>
  <w:style w:type="paragraph" w:customStyle="1" w:styleId="xl87">
    <w:name w:val="xl87"/>
    <w:basedOn w:val="Normal"/>
    <w:uiPriority w:val="99"/>
    <w:rsid w:val="00B63E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88">
    <w:name w:val="xl88"/>
    <w:basedOn w:val="Normal"/>
    <w:uiPriority w:val="99"/>
    <w:rsid w:val="00B63E0F"/>
    <w:pPr>
      <w:pBdr>
        <w:top w:val="single" w:sz="4"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89">
    <w:name w:val="xl89"/>
    <w:basedOn w:val="Normal"/>
    <w:uiPriority w:val="99"/>
    <w:rsid w:val="00B63E0F"/>
    <w:pPr>
      <w:pBdr>
        <w:left w:val="single" w:sz="4" w:space="0" w:color="000000"/>
        <w:bottom w:val="single" w:sz="8" w:space="0" w:color="000000"/>
        <w:right w:val="single" w:sz="4" w:space="0" w:color="000000"/>
      </w:pBdr>
      <w:spacing w:before="100" w:beforeAutospacing="1" w:after="100" w:afterAutospacing="1"/>
      <w:jc w:val="center"/>
      <w:textAlignment w:val="center"/>
    </w:pPr>
  </w:style>
  <w:style w:type="paragraph" w:customStyle="1" w:styleId="xl90">
    <w:name w:val="xl90"/>
    <w:basedOn w:val="Normal"/>
    <w:uiPriority w:val="99"/>
    <w:rsid w:val="00B63E0F"/>
    <w:pPr>
      <w:pBdr>
        <w:top w:val="single" w:sz="4" w:space="0" w:color="000000"/>
        <w:left w:val="single" w:sz="4" w:space="0" w:color="000000"/>
        <w:bottom w:val="single" w:sz="8" w:space="0" w:color="000000"/>
        <w:right w:val="single" w:sz="8" w:space="0" w:color="000000"/>
      </w:pBdr>
      <w:spacing w:before="100" w:beforeAutospacing="1" w:after="100" w:afterAutospacing="1"/>
      <w:jc w:val="center"/>
    </w:pPr>
    <w:rPr>
      <w:rFonts w:ascii="Arial" w:hAnsi="Arial" w:cs="Arial"/>
      <w:color w:val="000000"/>
      <w:sz w:val="18"/>
      <w:szCs w:val="18"/>
    </w:rPr>
  </w:style>
  <w:style w:type="paragraph" w:customStyle="1" w:styleId="xl91">
    <w:name w:val="xl91"/>
    <w:basedOn w:val="Normal"/>
    <w:uiPriority w:val="99"/>
    <w:rsid w:val="00B63E0F"/>
    <w:pPr>
      <w:pBdr>
        <w:left w:val="single" w:sz="4"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92">
    <w:name w:val="xl92"/>
    <w:basedOn w:val="Normal"/>
    <w:uiPriority w:val="99"/>
    <w:rsid w:val="00B63E0F"/>
    <w:pPr>
      <w:pBdr>
        <w:top w:val="single" w:sz="8" w:space="0" w:color="000000"/>
        <w:left w:val="single" w:sz="8" w:space="0" w:color="000000"/>
      </w:pBdr>
      <w:spacing w:before="100" w:beforeAutospacing="1" w:after="100" w:afterAutospacing="1"/>
      <w:jc w:val="both"/>
      <w:textAlignment w:val="top"/>
    </w:pPr>
    <w:rPr>
      <w:rFonts w:ascii="Arial" w:hAnsi="Arial" w:cs="Arial"/>
      <w:color w:val="000000"/>
      <w:sz w:val="18"/>
      <w:szCs w:val="18"/>
    </w:rPr>
  </w:style>
  <w:style w:type="paragraph" w:customStyle="1" w:styleId="xl93">
    <w:name w:val="xl93"/>
    <w:basedOn w:val="Normal"/>
    <w:uiPriority w:val="99"/>
    <w:rsid w:val="00B63E0F"/>
    <w:pPr>
      <w:pBdr>
        <w:left w:val="single" w:sz="8" w:space="0" w:color="000000"/>
      </w:pBdr>
      <w:spacing w:before="100" w:beforeAutospacing="1" w:after="100" w:afterAutospacing="1"/>
      <w:jc w:val="center"/>
      <w:textAlignment w:val="center"/>
    </w:pPr>
  </w:style>
  <w:style w:type="paragraph" w:customStyle="1" w:styleId="xl94">
    <w:name w:val="xl94"/>
    <w:basedOn w:val="Normal"/>
    <w:uiPriority w:val="99"/>
    <w:rsid w:val="00B63E0F"/>
    <w:pPr>
      <w:pBdr>
        <w:left w:val="single" w:sz="8" w:space="0" w:color="000000"/>
        <w:bottom w:val="single" w:sz="8" w:space="0" w:color="000000"/>
        <w:right w:val="single" w:sz="8" w:space="0" w:color="000000"/>
      </w:pBdr>
      <w:spacing w:before="100" w:beforeAutospacing="1" w:after="100" w:afterAutospacing="1"/>
      <w:jc w:val="both"/>
      <w:textAlignment w:val="top"/>
    </w:pPr>
    <w:rPr>
      <w:rFonts w:ascii="Arial" w:hAnsi="Arial" w:cs="Arial"/>
      <w:color w:val="000000"/>
      <w:sz w:val="18"/>
      <w:szCs w:val="18"/>
    </w:rPr>
  </w:style>
  <w:style w:type="paragraph" w:customStyle="1" w:styleId="xl95">
    <w:name w:val="xl95"/>
    <w:basedOn w:val="Normal"/>
    <w:uiPriority w:val="99"/>
    <w:rsid w:val="00B63E0F"/>
    <w:pPr>
      <w:pBdr>
        <w:bottom w:val="single" w:sz="8" w:space="0" w:color="000000"/>
        <w:right w:val="single" w:sz="8" w:space="0" w:color="000000"/>
      </w:pBdr>
      <w:spacing w:before="100" w:beforeAutospacing="1" w:after="100" w:afterAutospacing="1"/>
      <w:jc w:val="center"/>
      <w:textAlignment w:val="center"/>
    </w:pPr>
  </w:style>
  <w:style w:type="paragraph" w:customStyle="1" w:styleId="xl96">
    <w:name w:val="xl96"/>
    <w:basedOn w:val="Normal"/>
    <w:uiPriority w:val="99"/>
    <w:rsid w:val="00B63E0F"/>
    <w:pPr>
      <w:pBdr>
        <w:top w:val="single" w:sz="8" w:space="0" w:color="000000"/>
        <w:left w:val="single" w:sz="4" w:space="0" w:color="000000"/>
        <w:bottom w:val="single" w:sz="4" w:space="0" w:color="000000"/>
        <w:right w:val="single" w:sz="8" w:space="0" w:color="000000"/>
      </w:pBdr>
      <w:spacing w:before="100" w:beforeAutospacing="1" w:after="100" w:afterAutospacing="1"/>
      <w:jc w:val="center"/>
    </w:pPr>
    <w:rPr>
      <w:rFonts w:ascii="Arial" w:hAnsi="Arial" w:cs="Arial"/>
      <w:color w:val="000000"/>
      <w:sz w:val="18"/>
      <w:szCs w:val="18"/>
    </w:rPr>
  </w:style>
  <w:style w:type="paragraph" w:customStyle="1" w:styleId="xl97">
    <w:name w:val="xl97"/>
    <w:basedOn w:val="Normal"/>
    <w:uiPriority w:val="99"/>
    <w:rsid w:val="00B63E0F"/>
    <w:pPr>
      <w:pBdr>
        <w:top w:val="single" w:sz="8" w:space="0" w:color="000000"/>
        <w:bottom w:val="single" w:sz="4" w:space="0" w:color="000000"/>
        <w:right w:val="single" w:sz="8" w:space="0" w:color="000000"/>
      </w:pBdr>
      <w:spacing w:before="100" w:beforeAutospacing="1" w:after="100" w:afterAutospacing="1"/>
      <w:jc w:val="center"/>
      <w:textAlignment w:val="center"/>
    </w:pPr>
  </w:style>
  <w:style w:type="paragraph" w:customStyle="1" w:styleId="xl98">
    <w:name w:val="xl98"/>
    <w:basedOn w:val="Normal"/>
    <w:uiPriority w:val="99"/>
    <w:rsid w:val="00B63E0F"/>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99">
    <w:name w:val="xl99"/>
    <w:basedOn w:val="Normal"/>
    <w:uiPriority w:val="99"/>
    <w:rsid w:val="00B63E0F"/>
    <w:pPr>
      <w:pBdr>
        <w:left w:val="single" w:sz="8" w:space="0" w:color="000000"/>
      </w:pBdr>
      <w:spacing w:before="100" w:beforeAutospacing="1" w:after="100" w:afterAutospacing="1"/>
      <w:jc w:val="both"/>
      <w:textAlignment w:val="top"/>
    </w:pPr>
    <w:rPr>
      <w:rFonts w:ascii="Arial" w:hAnsi="Arial" w:cs="Arial"/>
      <w:color w:val="000000"/>
      <w:sz w:val="18"/>
      <w:szCs w:val="18"/>
    </w:rPr>
  </w:style>
  <w:style w:type="paragraph" w:customStyle="1" w:styleId="xl100">
    <w:name w:val="xl100"/>
    <w:basedOn w:val="Normal"/>
    <w:uiPriority w:val="99"/>
    <w:rsid w:val="00B63E0F"/>
    <w:pPr>
      <w:spacing w:before="100" w:beforeAutospacing="1" w:after="100" w:afterAutospacing="1"/>
      <w:jc w:val="center"/>
      <w:textAlignment w:val="center"/>
    </w:pPr>
    <w:rPr>
      <w:rFonts w:ascii="Arial Bold" w:hAnsi="Arial Bold" w:cs="Arial Bold"/>
      <w:b/>
      <w:bCs/>
      <w:color w:val="000000"/>
      <w:sz w:val="18"/>
      <w:szCs w:val="18"/>
    </w:rPr>
  </w:style>
  <w:style w:type="paragraph" w:customStyle="1" w:styleId="xl101">
    <w:name w:val="xl101"/>
    <w:basedOn w:val="Normal"/>
    <w:uiPriority w:val="99"/>
    <w:rsid w:val="00B63E0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Normal"/>
    <w:uiPriority w:val="99"/>
    <w:rsid w:val="00B63E0F"/>
    <w:pPr>
      <w:pBdr>
        <w:top w:val="single" w:sz="8" w:space="0" w:color="000000"/>
        <w:right w:val="single" w:sz="8" w:space="0" w:color="000000"/>
      </w:pBdr>
      <w:spacing w:before="100" w:beforeAutospacing="1" w:after="100" w:afterAutospacing="1"/>
      <w:jc w:val="center"/>
      <w:textAlignment w:val="center"/>
    </w:pPr>
  </w:style>
  <w:style w:type="paragraph" w:customStyle="1" w:styleId="xl103">
    <w:name w:val="xl103"/>
    <w:basedOn w:val="Normal"/>
    <w:uiPriority w:val="99"/>
    <w:rsid w:val="00B63E0F"/>
    <w:pPr>
      <w:pBdr>
        <w:right w:val="single" w:sz="8" w:space="0" w:color="000000"/>
      </w:pBdr>
      <w:spacing w:before="100" w:beforeAutospacing="1" w:after="100" w:afterAutospacing="1"/>
      <w:jc w:val="center"/>
      <w:textAlignment w:val="center"/>
    </w:pPr>
  </w:style>
  <w:style w:type="paragraph" w:customStyle="1" w:styleId="xl104">
    <w:name w:val="xl104"/>
    <w:basedOn w:val="Normal"/>
    <w:uiPriority w:val="99"/>
    <w:rsid w:val="00B63E0F"/>
    <w:pPr>
      <w:pBdr>
        <w:left w:val="single" w:sz="8" w:space="0" w:color="000000"/>
        <w:bottom w:val="single" w:sz="8" w:space="0" w:color="000000"/>
      </w:pBdr>
      <w:spacing w:before="100" w:beforeAutospacing="1" w:after="100" w:afterAutospacing="1"/>
      <w:jc w:val="center"/>
      <w:textAlignment w:val="center"/>
    </w:pPr>
  </w:style>
  <w:style w:type="paragraph" w:customStyle="1" w:styleId="xl105">
    <w:name w:val="xl105"/>
    <w:basedOn w:val="Normal"/>
    <w:uiPriority w:val="99"/>
    <w:rsid w:val="00B63E0F"/>
    <w:pPr>
      <w:pBdr>
        <w:top w:val="single" w:sz="8"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xl106">
    <w:name w:val="xl106"/>
    <w:basedOn w:val="Normal"/>
    <w:uiPriority w:val="99"/>
    <w:rsid w:val="00B63E0F"/>
    <w:pPr>
      <w:pBdr>
        <w:top w:val="single" w:sz="8" w:space="0" w:color="000000"/>
        <w:bottom w:val="single" w:sz="4" w:space="0" w:color="000000"/>
      </w:pBdr>
      <w:spacing w:before="100" w:beforeAutospacing="1" w:after="100" w:afterAutospacing="1"/>
      <w:jc w:val="center"/>
      <w:textAlignment w:val="center"/>
    </w:pPr>
  </w:style>
  <w:style w:type="paragraph" w:customStyle="1" w:styleId="xl107">
    <w:name w:val="xl107"/>
    <w:basedOn w:val="Normal"/>
    <w:uiPriority w:val="99"/>
    <w:rsid w:val="00B63E0F"/>
    <w:pPr>
      <w:pBdr>
        <w:top w:val="single" w:sz="8" w:space="0" w:color="000000"/>
        <w:bottom w:val="single" w:sz="4" w:space="0" w:color="000000"/>
        <w:right w:val="single" w:sz="4" w:space="0" w:color="000000"/>
      </w:pBdr>
      <w:spacing w:before="100" w:beforeAutospacing="1" w:after="100" w:afterAutospacing="1"/>
      <w:jc w:val="center"/>
      <w:textAlignment w:val="center"/>
    </w:pPr>
  </w:style>
  <w:style w:type="paragraph" w:customStyle="1" w:styleId="xl108">
    <w:name w:val="xl108"/>
    <w:basedOn w:val="Normal"/>
    <w:uiPriority w:val="99"/>
    <w:rsid w:val="00B63E0F"/>
    <w:pPr>
      <w:pBdr>
        <w:top w:val="single" w:sz="8"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8"/>
      <w:szCs w:val="18"/>
    </w:rPr>
  </w:style>
  <w:style w:type="paragraph" w:customStyle="1" w:styleId="K1">
    <w:name w:val="K1"/>
    <w:basedOn w:val="Normal"/>
    <w:uiPriority w:val="99"/>
    <w:rsid w:val="00B63E0F"/>
    <w:pPr>
      <w:spacing w:before="240" w:line="276" w:lineRule="auto"/>
      <w:jc w:val="center"/>
    </w:pPr>
    <w:rPr>
      <w:rFonts w:eastAsia="Calibri"/>
      <w:b/>
      <w:bCs/>
      <w:sz w:val="36"/>
      <w:szCs w:val="36"/>
      <w:lang w:eastAsia="en-US"/>
    </w:rPr>
  </w:style>
  <w:style w:type="paragraph" w:customStyle="1" w:styleId="K2">
    <w:name w:val="K2"/>
    <w:basedOn w:val="Normal"/>
    <w:uiPriority w:val="99"/>
    <w:rsid w:val="00B63E0F"/>
    <w:pPr>
      <w:spacing w:before="240" w:line="276" w:lineRule="auto"/>
      <w:jc w:val="center"/>
    </w:pPr>
    <w:rPr>
      <w:rFonts w:eastAsia="Calibri"/>
      <w:b/>
      <w:bCs/>
      <w:lang w:val="fr-BE" w:eastAsia="en-US"/>
    </w:rPr>
  </w:style>
  <w:style w:type="paragraph" w:customStyle="1" w:styleId="T6sec1a">
    <w:name w:val="T6sec1a"/>
    <w:basedOn w:val="Normal"/>
    <w:uiPriority w:val="99"/>
    <w:rsid w:val="00B63E0F"/>
    <w:pPr>
      <w:numPr>
        <w:numId w:val="2"/>
      </w:numPr>
      <w:spacing w:before="240" w:line="276" w:lineRule="auto"/>
      <w:jc w:val="center"/>
    </w:pPr>
    <w:rPr>
      <w:rFonts w:eastAsia="Calibri"/>
      <w:u w:val="single"/>
      <w:lang w:val="fr-BE"/>
    </w:rPr>
  </w:style>
  <w:style w:type="paragraph" w:customStyle="1" w:styleId="T6sec1b">
    <w:name w:val="T6sec1b"/>
    <w:basedOn w:val="Normal"/>
    <w:uiPriority w:val="99"/>
    <w:rsid w:val="00B63E0F"/>
    <w:pPr>
      <w:numPr>
        <w:numId w:val="3"/>
      </w:numPr>
      <w:spacing w:before="240"/>
      <w:jc w:val="center"/>
    </w:pPr>
    <w:rPr>
      <w:color w:val="000000"/>
      <w:u w:val="single"/>
    </w:rPr>
  </w:style>
  <w:style w:type="paragraph" w:customStyle="1" w:styleId="T6sec1c">
    <w:name w:val="T6sec1c"/>
    <w:basedOn w:val="Normal"/>
    <w:uiPriority w:val="99"/>
    <w:rsid w:val="00B63E0F"/>
    <w:pPr>
      <w:numPr>
        <w:numId w:val="4"/>
      </w:numPr>
      <w:spacing w:before="240"/>
      <w:jc w:val="center"/>
    </w:pPr>
    <w:rPr>
      <w:rFonts w:eastAsia="Calibri"/>
      <w:u w:val="single"/>
      <w:lang w:eastAsia="en-US"/>
    </w:rPr>
  </w:style>
  <w:style w:type="paragraph" w:customStyle="1" w:styleId="T6sec1d">
    <w:name w:val="T6sec1d"/>
    <w:basedOn w:val="Normal"/>
    <w:uiPriority w:val="99"/>
    <w:rsid w:val="00B63E0F"/>
    <w:pPr>
      <w:numPr>
        <w:numId w:val="5"/>
      </w:numPr>
      <w:spacing w:before="240" w:line="276" w:lineRule="auto"/>
      <w:jc w:val="center"/>
    </w:pPr>
    <w:rPr>
      <w:rFonts w:eastAsia="Calibri"/>
      <w:u w:val="single"/>
    </w:rPr>
  </w:style>
  <w:style w:type="paragraph" w:customStyle="1" w:styleId="T6sec1e">
    <w:name w:val="T6sec1e"/>
    <w:basedOn w:val="Normal"/>
    <w:uiPriority w:val="99"/>
    <w:rsid w:val="00B63E0F"/>
    <w:pPr>
      <w:numPr>
        <w:numId w:val="6"/>
      </w:numPr>
      <w:spacing w:before="240" w:line="276" w:lineRule="auto"/>
      <w:jc w:val="center"/>
    </w:pPr>
    <w:rPr>
      <w:rFonts w:eastAsia="Calibri"/>
      <w:u w:val="single"/>
    </w:rPr>
  </w:style>
  <w:style w:type="paragraph" w:customStyle="1" w:styleId="T6sec1f">
    <w:name w:val="T6sec1f"/>
    <w:basedOn w:val="Normal"/>
    <w:uiPriority w:val="99"/>
    <w:rsid w:val="00B63E0F"/>
    <w:pPr>
      <w:numPr>
        <w:numId w:val="7"/>
      </w:numPr>
      <w:spacing w:before="240" w:line="276" w:lineRule="auto"/>
      <w:jc w:val="center"/>
    </w:pPr>
    <w:rPr>
      <w:rFonts w:eastAsia="Calibri"/>
      <w:u w:val="single"/>
    </w:rPr>
  </w:style>
  <w:style w:type="paragraph" w:customStyle="1" w:styleId="T6sec1g">
    <w:name w:val="T6sec1g"/>
    <w:basedOn w:val="Normal"/>
    <w:uiPriority w:val="99"/>
    <w:rsid w:val="00B63E0F"/>
    <w:pPr>
      <w:numPr>
        <w:numId w:val="8"/>
      </w:numPr>
      <w:spacing w:before="240" w:line="276" w:lineRule="auto"/>
      <w:jc w:val="center"/>
    </w:pPr>
    <w:rPr>
      <w:rFonts w:eastAsia="Calibri"/>
      <w:u w:val="single"/>
    </w:rPr>
  </w:style>
  <w:style w:type="paragraph" w:customStyle="1" w:styleId="T6sec2a">
    <w:name w:val="T6sec2a"/>
    <w:basedOn w:val="Normal"/>
    <w:uiPriority w:val="99"/>
    <w:rsid w:val="00B63E0F"/>
    <w:pPr>
      <w:numPr>
        <w:numId w:val="9"/>
      </w:numPr>
      <w:spacing w:before="240" w:line="276" w:lineRule="auto"/>
      <w:jc w:val="center"/>
    </w:pPr>
    <w:rPr>
      <w:rFonts w:eastAsia="Calibri"/>
      <w:u w:val="single"/>
      <w:lang w:eastAsia="en-US"/>
    </w:rPr>
  </w:style>
  <w:style w:type="paragraph" w:customStyle="1" w:styleId="T6sec2b">
    <w:name w:val="T6sec2b"/>
    <w:basedOn w:val="Normal"/>
    <w:uiPriority w:val="99"/>
    <w:rsid w:val="00B63E0F"/>
    <w:pPr>
      <w:numPr>
        <w:numId w:val="10"/>
      </w:numPr>
      <w:spacing w:before="240" w:line="276" w:lineRule="auto"/>
      <w:jc w:val="center"/>
    </w:pPr>
    <w:rPr>
      <w:rFonts w:eastAsia="Calibri"/>
      <w:u w:val="single"/>
    </w:rPr>
  </w:style>
  <w:style w:type="paragraph" w:customStyle="1" w:styleId="K3">
    <w:name w:val="K3"/>
    <w:basedOn w:val="Normal"/>
    <w:uiPriority w:val="99"/>
    <w:rsid w:val="00B63E0F"/>
    <w:pPr>
      <w:spacing w:before="240" w:line="276" w:lineRule="auto"/>
      <w:jc w:val="center"/>
    </w:pPr>
    <w:rPr>
      <w:rFonts w:eastAsia="Calibri"/>
      <w:b/>
      <w:bCs/>
      <w:sz w:val="28"/>
      <w:szCs w:val="28"/>
      <w:lang w:eastAsia="en-US"/>
    </w:rPr>
  </w:style>
  <w:style w:type="paragraph" w:customStyle="1" w:styleId="T1sec1">
    <w:name w:val="T1sec1"/>
    <w:basedOn w:val="Normal"/>
    <w:uiPriority w:val="99"/>
    <w:rsid w:val="00B63E0F"/>
    <w:pPr>
      <w:numPr>
        <w:numId w:val="11"/>
      </w:numPr>
      <w:spacing w:before="240" w:line="276" w:lineRule="auto"/>
      <w:jc w:val="center"/>
    </w:pPr>
    <w:rPr>
      <w:rFonts w:eastAsia="Calibri"/>
      <w:u w:val="single"/>
      <w:lang w:val="fr-BE" w:eastAsia="en-US"/>
    </w:rPr>
  </w:style>
  <w:style w:type="paragraph" w:customStyle="1" w:styleId="T1sec3">
    <w:name w:val="T1sec3"/>
    <w:basedOn w:val="Normal"/>
    <w:uiPriority w:val="99"/>
    <w:rsid w:val="00B63E0F"/>
    <w:pPr>
      <w:numPr>
        <w:numId w:val="12"/>
      </w:numPr>
      <w:spacing w:before="240" w:line="276" w:lineRule="auto"/>
      <w:jc w:val="center"/>
    </w:pPr>
    <w:rPr>
      <w:rFonts w:eastAsia="Calibri"/>
      <w:u w:val="single"/>
      <w:lang w:val="fr-BE" w:eastAsia="en-US"/>
    </w:rPr>
  </w:style>
  <w:style w:type="paragraph" w:customStyle="1" w:styleId="K4">
    <w:name w:val="K4"/>
    <w:basedOn w:val="Normal"/>
    <w:uiPriority w:val="99"/>
    <w:rsid w:val="00B63E0F"/>
    <w:pPr>
      <w:spacing w:before="240" w:line="276" w:lineRule="auto"/>
      <w:jc w:val="both"/>
    </w:pPr>
    <w:rPr>
      <w:rFonts w:eastAsia="Calibri"/>
      <w:b/>
      <w:bCs/>
      <w:i/>
      <w:iCs/>
      <w:lang w:val="fr-BE" w:eastAsia="en-US"/>
    </w:rPr>
  </w:style>
  <w:style w:type="paragraph" w:customStyle="1" w:styleId="K5">
    <w:name w:val="K5"/>
    <w:basedOn w:val="Normal"/>
    <w:uiPriority w:val="99"/>
    <w:rsid w:val="00B63E0F"/>
    <w:pPr>
      <w:spacing w:before="240" w:line="276" w:lineRule="auto"/>
      <w:jc w:val="both"/>
    </w:pPr>
    <w:rPr>
      <w:rFonts w:eastAsia="Calibri"/>
      <w:u w:val="single"/>
      <w:lang w:eastAsia="en-US"/>
    </w:rPr>
  </w:style>
  <w:style w:type="paragraph" w:styleId="TM4">
    <w:name w:val="toc 4"/>
    <w:basedOn w:val="Normal"/>
    <w:next w:val="Normal"/>
    <w:autoRedefine/>
    <w:uiPriority w:val="99"/>
    <w:semiHidden/>
    <w:rsid w:val="00B63E0F"/>
    <w:pPr>
      <w:spacing w:before="240" w:line="276" w:lineRule="auto"/>
      <w:ind w:left="660"/>
      <w:jc w:val="both"/>
    </w:pPr>
    <w:rPr>
      <w:rFonts w:eastAsia="Calibri"/>
      <w:lang w:eastAsia="en-US"/>
    </w:rPr>
  </w:style>
  <w:style w:type="paragraph" w:styleId="TM5">
    <w:name w:val="toc 5"/>
    <w:basedOn w:val="Normal"/>
    <w:next w:val="Normal"/>
    <w:autoRedefine/>
    <w:uiPriority w:val="99"/>
    <w:semiHidden/>
    <w:rsid w:val="00B63E0F"/>
    <w:pPr>
      <w:spacing w:before="240" w:line="276" w:lineRule="auto"/>
      <w:ind w:left="880"/>
      <w:jc w:val="both"/>
    </w:pPr>
    <w:rPr>
      <w:rFonts w:eastAsia="Calibri"/>
      <w:lang w:eastAsia="en-US"/>
    </w:rPr>
  </w:style>
  <w:style w:type="paragraph" w:customStyle="1" w:styleId="T2sec1">
    <w:name w:val="T2sec1"/>
    <w:basedOn w:val="Paragraphedeliste"/>
    <w:uiPriority w:val="99"/>
    <w:rsid w:val="00B63E0F"/>
    <w:pPr>
      <w:numPr>
        <w:numId w:val="13"/>
      </w:numPr>
      <w:spacing w:before="240" w:line="276" w:lineRule="auto"/>
      <w:jc w:val="center"/>
    </w:pPr>
    <w:rPr>
      <w:rFonts w:eastAsia="Calibri"/>
      <w:u w:val="single"/>
      <w:lang w:val="fr-BE" w:eastAsia="en-US"/>
    </w:rPr>
  </w:style>
  <w:style w:type="paragraph" w:customStyle="1" w:styleId="G2sec1">
    <w:name w:val="G2sec1"/>
    <w:basedOn w:val="Paragraphedeliste"/>
    <w:uiPriority w:val="99"/>
    <w:rsid w:val="00B63E0F"/>
    <w:pPr>
      <w:numPr>
        <w:numId w:val="14"/>
      </w:numPr>
      <w:spacing w:before="240" w:line="276" w:lineRule="auto"/>
      <w:jc w:val="center"/>
    </w:pPr>
    <w:rPr>
      <w:rFonts w:eastAsia="Calibri"/>
      <w:u w:val="single"/>
      <w:lang w:val="fr-BE" w:eastAsia="en-US"/>
    </w:rPr>
  </w:style>
  <w:style w:type="paragraph" w:customStyle="1" w:styleId="T2sec2">
    <w:name w:val="T2sec2"/>
    <w:basedOn w:val="Paragraphedeliste"/>
    <w:uiPriority w:val="99"/>
    <w:rsid w:val="00B63E0F"/>
    <w:pPr>
      <w:numPr>
        <w:numId w:val="15"/>
      </w:numPr>
      <w:spacing w:before="240" w:line="276" w:lineRule="auto"/>
      <w:jc w:val="center"/>
    </w:pPr>
    <w:rPr>
      <w:rFonts w:eastAsia="Calibri"/>
      <w:u w:val="single"/>
      <w:lang w:val="fr-BE" w:eastAsia="en-US"/>
    </w:rPr>
  </w:style>
  <w:style w:type="paragraph" w:customStyle="1" w:styleId="T2sec3">
    <w:name w:val="T2sec3"/>
    <w:basedOn w:val="Paragraphedeliste"/>
    <w:uiPriority w:val="99"/>
    <w:rsid w:val="00B63E0F"/>
    <w:pPr>
      <w:numPr>
        <w:numId w:val="16"/>
      </w:numPr>
      <w:spacing w:before="240" w:line="276" w:lineRule="auto"/>
      <w:jc w:val="center"/>
    </w:pPr>
    <w:rPr>
      <w:rFonts w:eastAsia="Calibri"/>
      <w:u w:val="single"/>
      <w:lang w:val="fr-BE" w:eastAsia="en-US"/>
    </w:rPr>
  </w:style>
  <w:style w:type="paragraph" w:customStyle="1" w:styleId="T2sec4">
    <w:name w:val="T2sec4"/>
    <w:basedOn w:val="Normal"/>
    <w:uiPriority w:val="99"/>
    <w:rsid w:val="00B63E0F"/>
    <w:pPr>
      <w:numPr>
        <w:numId w:val="17"/>
      </w:numPr>
      <w:spacing w:before="240" w:line="276" w:lineRule="auto"/>
      <w:jc w:val="center"/>
    </w:pPr>
    <w:rPr>
      <w:rFonts w:eastAsia="Calibri"/>
      <w:u w:val="single"/>
      <w:lang w:val="fr-BE" w:eastAsia="en-US"/>
    </w:rPr>
  </w:style>
  <w:style w:type="character" w:customStyle="1" w:styleId="NotedefinCar">
    <w:name w:val="Note de fin Car"/>
    <w:link w:val="Notedefin"/>
    <w:uiPriority w:val="99"/>
    <w:semiHidden/>
    <w:locked/>
    <w:rsid w:val="00B63E0F"/>
    <w:rPr>
      <w:rFonts w:eastAsia="Times New Roman"/>
    </w:rPr>
  </w:style>
  <w:style w:type="paragraph" w:styleId="Notedefin">
    <w:name w:val="endnote text"/>
    <w:basedOn w:val="Normal"/>
    <w:link w:val="NotedefinCar"/>
    <w:uiPriority w:val="99"/>
    <w:semiHidden/>
    <w:rsid w:val="00B63E0F"/>
    <w:pPr>
      <w:spacing w:before="240" w:line="276" w:lineRule="auto"/>
      <w:jc w:val="both"/>
    </w:pPr>
    <w:rPr>
      <w:rFonts w:ascii="Calibri" w:eastAsia="Calibri" w:hAnsi="Calibri" w:cs="Calibri"/>
      <w:sz w:val="20"/>
      <w:szCs w:val="20"/>
    </w:rPr>
  </w:style>
  <w:style w:type="character" w:customStyle="1" w:styleId="EndnoteTextChar1">
    <w:name w:val="Endnote Text Char1"/>
    <w:basedOn w:val="Policepardfaut"/>
    <w:uiPriority w:val="99"/>
    <w:semiHidden/>
    <w:rsid w:val="002E39F2"/>
    <w:rPr>
      <w:rFonts w:ascii="Times New Roman" w:eastAsia="Times New Roman" w:hAnsi="Times New Roman"/>
      <w:sz w:val="20"/>
      <w:szCs w:val="20"/>
    </w:rPr>
  </w:style>
  <w:style w:type="character" w:customStyle="1" w:styleId="NotedefinCar1">
    <w:name w:val="Note de fin Car1"/>
    <w:basedOn w:val="Policepardfaut"/>
    <w:uiPriority w:val="99"/>
    <w:semiHidden/>
    <w:rsid w:val="00B63E0F"/>
    <w:rPr>
      <w:rFonts w:ascii="Times New Roman" w:hAnsi="Times New Roman" w:cs="Times New Roman"/>
      <w:sz w:val="20"/>
      <w:szCs w:val="20"/>
      <w:lang w:val="fr-FR" w:eastAsia="fr-FR"/>
    </w:rPr>
  </w:style>
  <w:style w:type="character" w:styleId="Appeldenotedefin">
    <w:name w:val="endnote reference"/>
    <w:basedOn w:val="Policepardfaut"/>
    <w:uiPriority w:val="99"/>
    <w:semiHidden/>
    <w:rsid w:val="00B63E0F"/>
    <w:rPr>
      <w:vertAlign w:val="superscript"/>
    </w:rPr>
  </w:style>
  <w:style w:type="paragraph" w:customStyle="1" w:styleId="T3sec1">
    <w:name w:val="T3sec1"/>
    <w:basedOn w:val="Normal"/>
    <w:uiPriority w:val="99"/>
    <w:rsid w:val="00B63E0F"/>
    <w:pPr>
      <w:numPr>
        <w:numId w:val="18"/>
      </w:numPr>
      <w:spacing w:before="240" w:line="276" w:lineRule="auto"/>
      <w:jc w:val="center"/>
    </w:pPr>
    <w:rPr>
      <w:rFonts w:eastAsia="Calibri"/>
      <w:color w:val="000000"/>
      <w:u w:val="single"/>
      <w:lang w:eastAsia="en-US"/>
    </w:rPr>
  </w:style>
  <w:style w:type="paragraph" w:customStyle="1" w:styleId="T3sec2">
    <w:name w:val="T3sec2"/>
    <w:basedOn w:val="Normal"/>
    <w:uiPriority w:val="99"/>
    <w:rsid w:val="00B63E0F"/>
    <w:pPr>
      <w:numPr>
        <w:numId w:val="19"/>
      </w:numPr>
      <w:spacing w:before="240" w:line="276" w:lineRule="auto"/>
      <w:jc w:val="center"/>
    </w:pPr>
    <w:rPr>
      <w:rFonts w:eastAsia="Calibri"/>
      <w:color w:val="000000"/>
      <w:u w:val="single"/>
      <w:lang w:eastAsia="en-US"/>
    </w:rPr>
  </w:style>
  <w:style w:type="paragraph" w:customStyle="1" w:styleId="T3sec3">
    <w:name w:val="T3sec3"/>
    <w:basedOn w:val="Normal"/>
    <w:uiPriority w:val="99"/>
    <w:rsid w:val="00B63E0F"/>
    <w:pPr>
      <w:numPr>
        <w:numId w:val="20"/>
      </w:numPr>
      <w:spacing w:before="240" w:line="276" w:lineRule="auto"/>
      <w:jc w:val="center"/>
    </w:pPr>
    <w:rPr>
      <w:rFonts w:eastAsia="Calibri"/>
      <w:color w:val="000000"/>
      <w:u w:val="single"/>
      <w:lang w:eastAsia="en-US"/>
    </w:rPr>
  </w:style>
  <w:style w:type="paragraph" w:customStyle="1" w:styleId="T3sec4">
    <w:name w:val="T3sec4"/>
    <w:basedOn w:val="Normal"/>
    <w:uiPriority w:val="99"/>
    <w:rsid w:val="00B63E0F"/>
    <w:pPr>
      <w:numPr>
        <w:numId w:val="21"/>
      </w:numPr>
      <w:spacing w:before="240"/>
      <w:jc w:val="center"/>
    </w:pPr>
    <w:rPr>
      <w:color w:val="000000"/>
      <w:u w:val="single"/>
    </w:rPr>
  </w:style>
  <w:style w:type="paragraph" w:customStyle="1" w:styleId="G3sec4">
    <w:name w:val="G3sec4"/>
    <w:basedOn w:val="Normal"/>
    <w:uiPriority w:val="99"/>
    <w:rsid w:val="00B63E0F"/>
    <w:pPr>
      <w:numPr>
        <w:numId w:val="22"/>
      </w:numPr>
      <w:spacing w:before="240" w:line="276" w:lineRule="auto"/>
      <w:jc w:val="center"/>
    </w:pPr>
    <w:rPr>
      <w:rFonts w:eastAsia="Calibri"/>
      <w:u w:val="single"/>
      <w:lang w:eastAsia="en-US"/>
    </w:rPr>
  </w:style>
  <w:style w:type="paragraph" w:customStyle="1" w:styleId="T3sec5">
    <w:name w:val="T3sec5"/>
    <w:basedOn w:val="Normal"/>
    <w:uiPriority w:val="99"/>
    <w:rsid w:val="00B63E0F"/>
    <w:pPr>
      <w:numPr>
        <w:numId w:val="23"/>
      </w:numPr>
      <w:spacing w:before="240"/>
      <w:jc w:val="center"/>
    </w:pPr>
    <w:rPr>
      <w:color w:val="000000"/>
      <w:u w:val="single"/>
    </w:rPr>
  </w:style>
  <w:style w:type="paragraph" w:customStyle="1" w:styleId="T4sec1a">
    <w:name w:val="T4sec1a"/>
    <w:basedOn w:val="Normal"/>
    <w:uiPriority w:val="99"/>
    <w:rsid w:val="00B63E0F"/>
    <w:pPr>
      <w:numPr>
        <w:numId w:val="24"/>
      </w:numPr>
      <w:spacing w:before="240" w:line="276" w:lineRule="auto"/>
      <w:jc w:val="center"/>
    </w:pPr>
    <w:rPr>
      <w:rFonts w:eastAsia="Calibri"/>
      <w:u w:val="single"/>
    </w:rPr>
  </w:style>
  <w:style w:type="paragraph" w:customStyle="1" w:styleId="T4sec1b">
    <w:name w:val="T4sec1b"/>
    <w:basedOn w:val="Normal"/>
    <w:uiPriority w:val="99"/>
    <w:rsid w:val="00B63E0F"/>
    <w:pPr>
      <w:numPr>
        <w:numId w:val="25"/>
      </w:numPr>
      <w:spacing w:before="240"/>
      <w:jc w:val="center"/>
    </w:pPr>
    <w:rPr>
      <w:color w:val="000000"/>
      <w:u w:val="single"/>
    </w:rPr>
  </w:style>
  <w:style w:type="paragraph" w:customStyle="1" w:styleId="T4sec2a">
    <w:name w:val="T4sec2a"/>
    <w:basedOn w:val="Normal"/>
    <w:uiPriority w:val="99"/>
    <w:rsid w:val="00B63E0F"/>
    <w:pPr>
      <w:numPr>
        <w:numId w:val="26"/>
      </w:numPr>
      <w:spacing w:before="240" w:line="276" w:lineRule="auto"/>
      <w:jc w:val="center"/>
    </w:pPr>
    <w:rPr>
      <w:color w:val="000000"/>
      <w:u w:val="single"/>
    </w:rPr>
  </w:style>
  <w:style w:type="paragraph" w:customStyle="1" w:styleId="T4sec2b">
    <w:name w:val="T4sec2b"/>
    <w:basedOn w:val="Normal"/>
    <w:uiPriority w:val="99"/>
    <w:rsid w:val="00B63E0F"/>
    <w:pPr>
      <w:numPr>
        <w:numId w:val="27"/>
      </w:numPr>
      <w:spacing w:before="240"/>
      <w:jc w:val="center"/>
    </w:pPr>
    <w:rPr>
      <w:color w:val="000000"/>
      <w:u w:val="single"/>
    </w:rPr>
  </w:style>
  <w:style w:type="paragraph" w:customStyle="1" w:styleId="T4sec2fin">
    <w:name w:val="T4sec2fin"/>
    <w:basedOn w:val="T4sec2a"/>
    <w:uiPriority w:val="99"/>
    <w:rsid w:val="00B63E0F"/>
    <w:pPr>
      <w:numPr>
        <w:numId w:val="0"/>
      </w:numPr>
      <w:ind w:left="720"/>
    </w:pPr>
  </w:style>
  <w:style w:type="paragraph" w:styleId="TM6">
    <w:name w:val="toc 6"/>
    <w:basedOn w:val="Normal"/>
    <w:next w:val="Normal"/>
    <w:autoRedefine/>
    <w:uiPriority w:val="99"/>
    <w:semiHidden/>
    <w:rsid w:val="00B63E0F"/>
    <w:pPr>
      <w:spacing w:before="240" w:after="100" w:line="276" w:lineRule="auto"/>
      <w:ind w:left="1100"/>
      <w:jc w:val="both"/>
    </w:pPr>
  </w:style>
  <w:style w:type="paragraph" w:styleId="TM7">
    <w:name w:val="toc 7"/>
    <w:basedOn w:val="Normal"/>
    <w:next w:val="Normal"/>
    <w:autoRedefine/>
    <w:uiPriority w:val="99"/>
    <w:semiHidden/>
    <w:rsid w:val="00B63E0F"/>
    <w:pPr>
      <w:spacing w:before="240" w:after="100" w:line="276" w:lineRule="auto"/>
      <w:ind w:left="1320"/>
      <w:jc w:val="both"/>
    </w:pPr>
  </w:style>
  <w:style w:type="paragraph" w:styleId="TM8">
    <w:name w:val="toc 8"/>
    <w:basedOn w:val="Normal"/>
    <w:next w:val="Normal"/>
    <w:autoRedefine/>
    <w:uiPriority w:val="99"/>
    <w:semiHidden/>
    <w:rsid w:val="00B63E0F"/>
    <w:pPr>
      <w:spacing w:before="240" w:after="100" w:line="276" w:lineRule="auto"/>
      <w:ind w:left="1540"/>
      <w:jc w:val="both"/>
    </w:pPr>
  </w:style>
  <w:style w:type="paragraph" w:styleId="TM9">
    <w:name w:val="toc 9"/>
    <w:basedOn w:val="Normal"/>
    <w:next w:val="Normal"/>
    <w:autoRedefine/>
    <w:uiPriority w:val="99"/>
    <w:semiHidden/>
    <w:rsid w:val="00B63E0F"/>
    <w:pPr>
      <w:spacing w:before="240" w:after="100" w:line="276" w:lineRule="auto"/>
      <w:ind w:left="1760"/>
      <w:jc w:val="both"/>
    </w:pPr>
  </w:style>
  <w:style w:type="paragraph" w:customStyle="1" w:styleId="G1sec3">
    <w:name w:val="G1sec3"/>
    <w:basedOn w:val="Normal"/>
    <w:uiPriority w:val="99"/>
    <w:rsid w:val="00B63E0F"/>
    <w:pPr>
      <w:numPr>
        <w:numId w:val="28"/>
      </w:numPr>
      <w:spacing w:before="240"/>
      <w:jc w:val="center"/>
    </w:pPr>
    <w:rPr>
      <w:u w:val="single"/>
    </w:rPr>
  </w:style>
  <w:style w:type="paragraph" w:customStyle="1" w:styleId="G1sec3fin2">
    <w:name w:val="G1sec3fin2"/>
    <w:basedOn w:val="Normal"/>
    <w:uiPriority w:val="99"/>
    <w:rsid w:val="00B63E0F"/>
    <w:pPr>
      <w:numPr>
        <w:numId w:val="29"/>
      </w:numPr>
      <w:spacing w:before="240" w:line="276" w:lineRule="auto"/>
      <w:jc w:val="center"/>
    </w:pPr>
    <w:rPr>
      <w:rFonts w:eastAsia="Calibri"/>
      <w:u w:val="single"/>
      <w:lang w:eastAsia="en-US"/>
    </w:rPr>
  </w:style>
  <w:style w:type="paragraph" w:customStyle="1" w:styleId="T6sec3a">
    <w:name w:val="T6sec3a"/>
    <w:basedOn w:val="Normal"/>
    <w:uiPriority w:val="99"/>
    <w:rsid w:val="00B63E0F"/>
    <w:pPr>
      <w:numPr>
        <w:numId w:val="30"/>
      </w:numPr>
      <w:spacing w:before="240" w:line="276" w:lineRule="auto"/>
      <w:jc w:val="center"/>
    </w:pPr>
    <w:rPr>
      <w:color w:val="000000"/>
      <w:u w:val="single"/>
    </w:rPr>
  </w:style>
  <w:style w:type="paragraph" w:customStyle="1" w:styleId="T6sec3b">
    <w:name w:val="T6sec3b"/>
    <w:basedOn w:val="Normal"/>
    <w:uiPriority w:val="99"/>
    <w:rsid w:val="00B63E0F"/>
    <w:pPr>
      <w:numPr>
        <w:numId w:val="31"/>
      </w:numPr>
      <w:spacing w:before="240" w:line="276" w:lineRule="auto"/>
      <w:jc w:val="center"/>
    </w:pPr>
    <w:rPr>
      <w:rFonts w:eastAsia="Calibri"/>
      <w:u w:val="single"/>
      <w:lang w:eastAsia="en-US"/>
    </w:rPr>
  </w:style>
  <w:style w:type="paragraph" w:customStyle="1" w:styleId="T6sec3c">
    <w:name w:val="T6sec3c"/>
    <w:basedOn w:val="Normal"/>
    <w:uiPriority w:val="99"/>
    <w:rsid w:val="00B63E0F"/>
    <w:pPr>
      <w:numPr>
        <w:numId w:val="32"/>
      </w:numPr>
      <w:spacing w:before="240" w:line="276" w:lineRule="auto"/>
      <w:jc w:val="center"/>
    </w:pPr>
    <w:rPr>
      <w:rFonts w:eastAsia="Calibri"/>
      <w:u w:val="single"/>
      <w:lang w:eastAsia="en-US"/>
    </w:rPr>
  </w:style>
  <w:style w:type="paragraph" w:customStyle="1" w:styleId="T6sec3d">
    <w:name w:val="T6sec3d"/>
    <w:basedOn w:val="Normal"/>
    <w:uiPriority w:val="99"/>
    <w:rsid w:val="00B63E0F"/>
    <w:pPr>
      <w:numPr>
        <w:numId w:val="33"/>
      </w:numPr>
      <w:spacing w:before="240" w:line="276" w:lineRule="auto"/>
      <w:jc w:val="center"/>
    </w:pPr>
    <w:rPr>
      <w:rFonts w:eastAsia="Calibri"/>
      <w:u w:val="single"/>
      <w:lang w:eastAsia="en-US"/>
    </w:rPr>
  </w:style>
  <w:style w:type="paragraph" w:customStyle="1" w:styleId="T6sec3e">
    <w:name w:val="T6sec3e"/>
    <w:basedOn w:val="Normal"/>
    <w:uiPriority w:val="99"/>
    <w:rsid w:val="00B63E0F"/>
    <w:pPr>
      <w:numPr>
        <w:numId w:val="34"/>
      </w:numPr>
      <w:spacing w:before="240" w:line="276" w:lineRule="auto"/>
      <w:jc w:val="center"/>
    </w:pPr>
    <w:rPr>
      <w:rFonts w:eastAsia="Calibri"/>
      <w:u w:val="single"/>
      <w:lang w:eastAsia="en-US"/>
    </w:rPr>
  </w:style>
  <w:style w:type="paragraph" w:customStyle="1" w:styleId="T6sec3f">
    <w:name w:val="T6sec3f"/>
    <w:basedOn w:val="Normal"/>
    <w:uiPriority w:val="99"/>
    <w:rsid w:val="00B63E0F"/>
    <w:pPr>
      <w:numPr>
        <w:numId w:val="35"/>
      </w:numPr>
      <w:spacing w:before="240" w:line="276" w:lineRule="auto"/>
      <w:jc w:val="center"/>
    </w:pPr>
    <w:rPr>
      <w:rFonts w:eastAsia="Calibri"/>
      <w:u w:val="single"/>
      <w:lang w:eastAsia="en-US"/>
    </w:rPr>
  </w:style>
  <w:style w:type="paragraph" w:customStyle="1" w:styleId="T6sec3g">
    <w:name w:val="T6sec3g"/>
    <w:basedOn w:val="Normal"/>
    <w:uiPriority w:val="99"/>
    <w:rsid w:val="00B63E0F"/>
    <w:pPr>
      <w:numPr>
        <w:numId w:val="36"/>
      </w:numPr>
      <w:spacing w:before="240" w:line="276" w:lineRule="auto"/>
      <w:jc w:val="center"/>
    </w:pPr>
    <w:rPr>
      <w:rFonts w:eastAsia="Calibri"/>
      <w:u w:val="single"/>
      <w:lang w:eastAsia="en-US"/>
    </w:rPr>
  </w:style>
  <w:style w:type="paragraph" w:customStyle="1" w:styleId="T6sec3h">
    <w:name w:val="T6sec3h"/>
    <w:basedOn w:val="Normal"/>
    <w:uiPriority w:val="99"/>
    <w:rsid w:val="00B63E0F"/>
    <w:pPr>
      <w:numPr>
        <w:numId w:val="37"/>
      </w:numPr>
      <w:spacing w:before="240" w:line="276" w:lineRule="auto"/>
      <w:jc w:val="center"/>
    </w:pPr>
    <w:rPr>
      <w:rFonts w:eastAsia="Calibri"/>
      <w:u w:val="single"/>
      <w:lang w:eastAsia="en-US"/>
    </w:rPr>
  </w:style>
  <w:style w:type="paragraph" w:customStyle="1" w:styleId="T6sec3i">
    <w:name w:val="T6sec3i"/>
    <w:basedOn w:val="Normal"/>
    <w:uiPriority w:val="99"/>
    <w:rsid w:val="00B63E0F"/>
    <w:pPr>
      <w:numPr>
        <w:numId w:val="38"/>
      </w:numPr>
      <w:spacing w:before="240" w:line="276" w:lineRule="auto"/>
      <w:jc w:val="center"/>
    </w:pPr>
    <w:rPr>
      <w:rFonts w:eastAsia="Calibri"/>
      <w:u w:val="single"/>
      <w:lang w:eastAsia="en-US"/>
    </w:rPr>
  </w:style>
  <w:style w:type="paragraph" w:customStyle="1" w:styleId="T6sec3j">
    <w:name w:val="T6sec3j"/>
    <w:basedOn w:val="Normal"/>
    <w:uiPriority w:val="99"/>
    <w:rsid w:val="00B63E0F"/>
    <w:pPr>
      <w:numPr>
        <w:numId w:val="39"/>
      </w:numPr>
      <w:spacing w:before="240" w:line="276" w:lineRule="auto"/>
      <w:jc w:val="center"/>
    </w:pPr>
    <w:rPr>
      <w:rFonts w:eastAsia="Calibri"/>
      <w:u w:val="single"/>
      <w:lang w:eastAsia="en-US"/>
    </w:rPr>
  </w:style>
  <w:style w:type="paragraph" w:customStyle="1" w:styleId="T6sec3k">
    <w:name w:val="T6sec3k"/>
    <w:basedOn w:val="Normal"/>
    <w:uiPriority w:val="99"/>
    <w:rsid w:val="00B63E0F"/>
    <w:pPr>
      <w:numPr>
        <w:numId w:val="40"/>
      </w:numPr>
      <w:spacing w:before="240" w:line="276" w:lineRule="auto"/>
      <w:jc w:val="center"/>
    </w:pPr>
    <w:rPr>
      <w:rFonts w:eastAsia="Calibri"/>
      <w:u w:val="single"/>
      <w:lang w:eastAsia="en-US"/>
    </w:rPr>
  </w:style>
  <w:style w:type="paragraph" w:customStyle="1" w:styleId="T6sec3l">
    <w:name w:val="T6sec3l"/>
    <w:basedOn w:val="Normal"/>
    <w:uiPriority w:val="99"/>
    <w:rsid w:val="00B63E0F"/>
    <w:pPr>
      <w:numPr>
        <w:numId w:val="41"/>
      </w:numPr>
      <w:spacing w:before="240" w:line="276" w:lineRule="auto"/>
      <w:jc w:val="center"/>
    </w:pPr>
    <w:rPr>
      <w:rFonts w:eastAsia="Calibri"/>
      <w:u w:val="single"/>
      <w:lang w:eastAsia="en-US"/>
    </w:rPr>
  </w:style>
  <w:style w:type="paragraph" w:customStyle="1" w:styleId="T6sec3m">
    <w:name w:val="T6sec3m"/>
    <w:basedOn w:val="Normal"/>
    <w:uiPriority w:val="99"/>
    <w:rsid w:val="00B63E0F"/>
    <w:pPr>
      <w:numPr>
        <w:numId w:val="42"/>
      </w:numPr>
      <w:spacing w:before="240" w:line="276" w:lineRule="auto"/>
      <w:jc w:val="center"/>
    </w:pPr>
    <w:rPr>
      <w:rFonts w:eastAsia="Calibri"/>
      <w:u w:val="single"/>
      <w:lang w:eastAsia="en-US"/>
    </w:rPr>
  </w:style>
  <w:style w:type="paragraph" w:customStyle="1" w:styleId="T6sec6a">
    <w:name w:val="T6sec6a"/>
    <w:basedOn w:val="T6sec5a"/>
    <w:uiPriority w:val="99"/>
    <w:rsid w:val="00B63E0F"/>
    <w:pPr>
      <w:spacing w:line="240" w:lineRule="auto"/>
      <w:ind w:left="1080"/>
    </w:pPr>
  </w:style>
  <w:style w:type="paragraph" w:customStyle="1" w:styleId="T6sec5a">
    <w:name w:val="T6sec5a"/>
    <w:basedOn w:val="Normal"/>
    <w:uiPriority w:val="99"/>
    <w:rsid w:val="00B63E0F"/>
    <w:pPr>
      <w:spacing w:before="240" w:line="276" w:lineRule="auto"/>
      <w:ind w:left="720" w:hanging="360"/>
      <w:jc w:val="center"/>
    </w:pPr>
    <w:rPr>
      <w:color w:val="000000"/>
      <w:u w:val="single"/>
    </w:rPr>
  </w:style>
  <w:style w:type="paragraph" w:customStyle="1" w:styleId="T6sec4a">
    <w:name w:val="T6sec4a"/>
    <w:basedOn w:val="Normal"/>
    <w:uiPriority w:val="99"/>
    <w:rsid w:val="00B63E0F"/>
    <w:pPr>
      <w:numPr>
        <w:numId w:val="45"/>
      </w:numPr>
      <w:spacing w:before="240" w:line="276" w:lineRule="auto"/>
      <w:jc w:val="center"/>
    </w:pPr>
    <w:rPr>
      <w:rFonts w:eastAsia="Calibri"/>
      <w:u w:val="single"/>
      <w:lang w:eastAsia="en-US"/>
    </w:rPr>
  </w:style>
  <w:style w:type="paragraph" w:customStyle="1" w:styleId="T6sec6b">
    <w:name w:val="T6sec6b"/>
    <w:basedOn w:val="T6sec5b"/>
    <w:uiPriority w:val="99"/>
    <w:rsid w:val="00B63E0F"/>
    <w:pPr>
      <w:spacing w:line="240" w:lineRule="auto"/>
      <w:ind w:left="1080"/>
    </w:pPr>
  </w:style>
  <w:style w:type="paragraph" w:customStyle="1" w:styleId="T6sec5b">
    <w:name w:val="T6sec5b"/>
    <w:basedOn w:val="Normal"/>
    <w:uiPriority w:val="99"/>
    <w:rsid w:val="00B63E0F"/>
    <w:pPr>
      <w:numPr>
        <w:numId w:val="43"/>
      </w:numPr>
      <w:spacing w:before="240" w:line="276" w:lineRule="auto"/>
      <w:jc w:val="center"/>
    </w:pPr>
    <w:rPr>
      <w:color w:val="000000"/>
      <w:u w:val="single"/>
    </w:rPr>
  </w:style>
  <w:style w:type="paragraph" w:customStyle="1" w:styleId="T6Sec4b">
    <w:name w:val="T6Sec4b"/>
    <w:basedOn w:val="Normal"/>
    <w:uiPriority w:val="99"/>
    <w:rsid w:val="00B63E0F"/>
    <w:pPr>
      <w:numPr>
        <w:numId w:val="44"/>
      </w:numPr>
      <w:spacing w:before="240"/>
      <w:jc w:val="center"/>
    </w:pPr>
    <w:rPr>
      <w:color w:val="000000"/>
      <w:u w:val="single"/>
    </w:rPr>
  </w:style>
  <w:style w:type="character" w:styleId="Numrodepage">
    <w:name w:val="page number"/>
    <w:basedOn w:val="Policepardfaut"/>
    <w:uiPriority w:val="99"/>
    <w:rsid w:val="00B63E0F"/>
  </w:style>
  <w:style w:type="paragraph" w:customStyle="1" w:styleId="K10">
    <w:name w:val="K1'"/>
    <w:basedOn w:val="Normal"/>
    <w:uiPriority w:val="99"/>
    <w:rsid w:val="00B63E0F"/>
    <w:pPr>
      <w:tabs>
        <w:tab w:val="left" w:pos="3075"/>
        <w:tab w:val="center" w:pos="4819"/>
      </w:tabs>
      <w:spacing w:before="240" w:line="276" w:lineRule="auto"/>
      <w:jc w:val="center"/>
    </w:pPr>
    <w:rPr>
      <w:rFonts w:eastAsia="Calibri"/>
      <w:b/>
      <w:bCs/>
      <w:sz w:val="28"/>
      <w:szCs w:val="28"/>
      <w:lang w:val="fr-BE" w:eastAsia="en-US"/>
    </w:rPr>
  </w:style>
  <w:style w:type="paragraph" w:customStyle="1" w:styleId="T5sec1a">
    <w:name w:val="T5sec1a"/>
    <w:basedOn w:val="Normal"/>
    <w:uiPriority w:val="99"/>
    <w:rsid w:val="00B63E0F"/>
    <w:pPr>
      <w:numPr>
        <w:numId w:val="46"/>
      </w:numPr>
      <w:spacing w:before="240" w:line="360" w:lineRule="auto"/>
      <w:jc w:val="center"/>
    </w:pPr>
    <w:rPr>
      <w:u w:val="single"/>
      <w:lang w:val="fr-BE" w:eastAsia="fr-BE"/>
    </w:rPr>
  </w:style>
  <w:style w:type="paragraph" w:customStyle="1" w:styleId="T5sec2a">
    <w:name w:val="T5sec2a"/>
    <w:basedOn w:val="T5sec1a"/>
    <w:uiPriority w:val="99"/>
    <w:rsid w:val="00B63E0F"/>
    <w:pPr>
      <w:numPr>
        <w:numId w:val="47"/>
      </w:numPr>
      <w:spacing w:line="240" w:lineRule="auto"/>
    </w:pPr>
  </w:style>
  <w:style w:type="paragraph" w:customStyle="1" w:styleId="T5sec2b0">
    <w:name w:val="T5sec2b"/>
    <w:basedOn w:val="Normal"/>
    <w:uiPriority w:val="99"/>
    <w:rsid w:val="00B63E0F"/>
    <w:pPr>
      <w:widowControl w:val="0"/>
      <w:numPr>
        <w:numId w:val="48"/>
      </w:numPr>
      <w:autoSpaceDE w:val="0"/>
      <w:autoSpaceDN w:val="0"/>
      <w:adjustRightInd w:val="0"/>
      <w:spacing w:before="240"/>
      <w:jc w:val="center"/>
    </w:pPr>
    <w:rPr>
      <w:rFonts w:eastAsia="Calibri"/>
      <w:u w:val="single"/>
      <w:lang w:eastAsia="en-US"/>
    </w:rPr>
  </w:style>
  <w:style w:type="paragraph" w:customStyle="1" w:styleId="T5sec2c">
    <w:name w:val="T5sec2c"/>
    <w:basedOn w:val="Normal"/>
    <w:uiPriority w:val="99"/>
    <w:rsid w:val="00B63E0F"/>
    <w:pPr>
      <w:widowControl w:val="0"/>
      <w:numPr>
        <w:numId w:val="49"/>
      </w:numPr>
      <w:autoSpaceDE w:val="0"/>
      <w:autoSpaceDN w:val="0"/>
      <w:adjustRightInd w:val="0"/>
      <w:spacing w:before="240" w:line="360" w:lineRule="auto"/>
      <w:jc w:val="center"/>
    </w:pPr>
    <w:rPr>
      <w:rFonts w:eastAsia="Calibri"/>
      <w:u w:val="single"/>
      <w:lang w:eastAsia="en-US"/>
    </w:rPr>
  </w:style>
  <w:style w:type="paragraph" w:customStyle="1" w:styleId="G5sec1">
    <w:name w:val="G5sec1"/>
    <w:basedOn w:val="Normal"/>
    <w:uiPriority w:val="99"/>
    <w:rsid w:val="00B63E0F"/>
    <w:pPr>
      <w:numPr>
        <w:numId w:val="57"/>
      </w:numPr>
      <w:spacing w:before="240" w:line="276" w:lineRule="auto"/>
      <w:jc w:val="center"/>
    </w:pPr>
    <w:rPr>
      <w:rFonts w:eastAsia="Calibri"/>
      <w:u w:val="single"/>
      <w:lang w:eastAsia="en-US"/>
    </w:rPr>
  </w:style>
  <w:style w:type="paragraph" w:customStyle="1" w:styleId="G5sec2b">
    <w:name w:val="G5sec2b"/>
    <w:basedOn w:val="Normal"/>
    <w:uiPriority w:val="99"/>
    <w:rsid w:val="00B63E0F"/>
    <w:pPr>
      <w:widowControl w:val="0"/>
      <w:numPr>
        <w:numId w:val="50"/>
      </w:numPr>
      <w:autoSpaceDE w:val="0"/>
      <w:autoSpaceDN w:val="0"/>
      <w:adjustRightInd w:val="0"/>
      <w:spacing w:before="240" w:line="360" w:lineRule="auto"/>
      <w:jc w:val="center"/>
    </w:pPr>
    <w:rPr>
      <w:rFonts w:eastAsia="Calibri"/>
      <w:u w:val="single"/>
      <w:lang w:eastAsia="en-US"/>
    </w:rPr>
  </w:style>
  <w:style w:type="paragraph" w:customStyle="1" w:styleId="G5sec5">
    <w:name w:val="G5sec5"/>
    <w:basedOn w:val="Normal"/>
    <w:uiPriority w:val="99"/>
    <w:rsid w:val="00B63E0F"/>
    <w:pPr>
      <w:widowControl w:val="0"/>
      <w:numPr>
        <w:numId w:val="51"/>
      </w:numPr>
      <w:autoSpaceDE w:val="0"/>
      <w:autoSpaceDN w:val="0"/>
      <w:adjustRightInd w:val="0"/>
      <w:spacing w:before="240" w:line="360" w:lineRule="auto"/>
      <w:jc w:val="center"/>
    </w:pPr>
    <w:rPr>
      <w:rFonts w:eastAsia="Calibri"/>
      <w:u w:val="single"/>
      <w:lang w:eastAsia="en-US"/>
    </w:rPr>
  </w:style>
  <w:style w:type="paragraph" w:customStyle="1" w:styleId="G5sec6">
    <w:name w:val="G5sec6"/>
    <w:basedOn w:val="Normal"/>
    <w:uiPriority w:val="99"/>
    <w:rsid w:val="00B63E0F"/>
    <w:pPr>
      <w:widowControl w:val="0"/>
      <w:numPr>
        <w:numId w:val="52"/>
      </w:numPr>
      <w:autoSpaceDE w:val="0"/>
      <w:autoSpaceDN w:val="0"/>
      <w:adjustRightInd w:val="0"/>
      <w:spacing w:before="240" w:line="360" w:lineRule="auto"/>
      <w:jc w:val="center"/>
    </w:pPr>
    <w:rPr>
      <w:rFonts w:eastAsia="Calibri"/>
      <w:u w:val="single"/>
      <w:lang w:eastAsia="en-US"/>
    </w:rPr>
  </w:style>
  <w:style w:type="paragraph" w:customStyle="1" w:styleId="A1">
    <w:name w:val="A1"/>
    <w:basedOn w:val="Normal"/>
    <w:uiPriority w:val="99"/>
    <w:rsid w:val="00B63E0F"/>
    <w:pPr>
      <w:numPr>
        <w:numId w:val="66"/>
      </w:numPr>
      <w:spacing w:before="240" w:line="276" w:lineRule="auto"/>
      <w:jc w:val="center"/>
    </w:pPr>
    <w:rPr>
      <w:rFonts w:eastAsia="Calibri"/>
      <w:u w:val="single"/>
      <w:lang w:eastAsia="en-US"/>
    </w:rPr>
  </w:style>
  <w:style w:type="paragraph" w:customStyle="1" w:styleId="T5sec2">
    <w:name w:val="T5sec2'"/>
    <w:basedOn w:val="Normal"/>
    <w:uiPriority w:val="99"/>
    <w:rsid w:val="00B63E0F"/>
    <w:pPr>
      <w:widowControl w:val="0"/>
      <w:numPr>
        <w:numId w:val="53"/>
      </w:numPr>
      <w:autoSpaceDE w:val="0"/>
      <w:autoSpaceDN w:val="0"/>
      <w:adjustRightInd w:val="0"/>
      <w:spacing w:before="240" w:line="360" w:lineRule="auto"/>
      <w:jc w:val="center"/>
    </w:pPr>
    <w:rPr>
      <w:rFonts w:eastAsia="Calibri"/>
      <w:u w:val="single"/>
      <w:lang w:eastAsia="en-US"/>
    </w:rPr>
  </w:style>
  <w:style w:type="paragraph" w:customStyle="1" w:styleId="T5sec2b">
    <w:name w:val="T5sec2'b"/>
    <w:basedOn w:val="Normal"/>
    <w:uiPriority w:val="99"/>
    <w:rsid w:val="00B63E0F"/>
    <w:pPr>
      <w:widowControl w:val="0"/>
      <w:numPr>
        <w:numId w:val="54"/>
      </w:numPr>
      <w:autoSpaceDE w:val="0"/>
      <w:autoSpaceDN w:val="0"/>
      <w:adjustRightInd w:val="0"/>
      <w:spacing w:before="240" w:line="360" w:lineRule="auto"/>
      <w:jc w:val="center"/>
    </w:pPr>
    <w:rPr>
      <w:rFonts w:eastAsia="Calibri"/>
      <w:u w:val="single"/>
      <w:lang w:eastAsia="en-US"/>
    </w:rPr>
  </w:style>
  <w:style w:type="paragraph" w:customStyle="1" w:styleId="T5sec2d">
    <w:name w:val="T5sec2d"/>
    <w:basedOn w:val="Normal"/>
    <w:uiPriority w:val="99"/>
    <w:rsid w:val="00B63E0F"/>
    <w:pPr>
      <w:widowControl w:val="0"/>
      <w:numPr>
        <w:numId w:val="55"/>
      </w:numPr>
      <w:autoSpaceDE w:val="0"/>
      <w:autoSpaceDN w:val="0"/>
      <w:adjustRightInd w:val="0"/>
      <w:spacing w:before="240" w:line="360" w:lineRule="auto"/>
      <w:jc w:val="center"/>
    </w:pPr>
    <w:rPr>
      <w:rFonts w:eastAsia="Calibri"/>
      <w:u w:val="single"/>
      <w:lang w:eastAsia="en-US"/>
    </w:rPr>
  </w:style>
  <w:style w:type="paragraph" w:customStyle="1" w:styleId="G5sec2a">
    <w:name w:val="G5sec2a"/>
    <w:basedOn w:val="Normal"/>
    <w:uiPriority w:val="99"/>
    <w:rsid w:val="00B63E0F"/>
    <w:pPr>
      <w:widowControl w:val="0"/>
      <w:numPr>
        <w:numId w:val="56"/>
      </w:numPr>
      <w:autoSpaceDE w:val="0"/>
      <w:autoSpaceDN w:val="0"/>
      <w:adjustRightInd w:val="0"/>
      <w:spacing w:before="240" w:line="360" w:lineRule="auto"/>
      <w:jc w:val="center"/>
    </w:pPr>
    <w:rPr>
      <w:rFonts w:eastAsia="Calibri"/>
      <w:u w:val="single"/>
      <w:lang w:eastAsia="en-US"/>
    </w:rPr>
  </w:style>
  <w:style w:type="paragraph" w:customStyle="1" w:styleId="G5sec42c">
    <w:name w:val="G5sec42c"/>
    <w:basedOn w:val="Normal"/>
    <w:uiPriority w:val="99"/>
    <w:rsid w:val="00B63E0F"/>
    <w:pPr>
      <w:widowControl w:val="0"/>
      <w:numPr>
        <w:numId w:val="58"/>
      </w:numPr>
      <w:autoSpaceDE w:val="0"/>
      <w:autoSpaceDN w:val="0"/>
      <w:adjustRightInd w:val="0"/>
      <w:spacing w:before="240" w:line="360" w:lineRule="auto"/>
      <w:jc w:val="center"/>
    </w:pPr>
    <w:rPr>
      <w:rFonts w:eastAsia="Calibri"/>
      <w:u w:val="single"/>
      <w:lang w:eastAsia="en-US"/>
    </w:rPr>
  </w:style>
  <w:style w:type="paragraph" w:customStyle="1" w:styleId="G5sec50">
    <w:name w:val="G5sec5'"/>
    <w:basedOn w:val="Normal"/>
    <w:uiPriority w:val="99"/>
    <w:rsid w:val="00B63E0F"/>
    <w:pPr>
      <w:widowControl w:val="0"/>
      <w:numPr>
        <w:numId w:val="59"/>
      </w:numPr>
      <w:autoSpaceDE w:val="0"/>
      <w:autoSpaceDN w:val="0"/>
      <w:adjustRightInd w:val="0"/>
      <w:spacing w:before="240" w:line="360" w:lineRule="auto"/>
      <w:jc w:val="center"/>
    </w:pPr>
    <w:rPr>
      <w:rFonts w:eastAsia="Calibri"/>
      <w:u w:val="single"/>
      <w:lang w:eastAsia="en-US"/>
    </w:rPr>
  </w:style>
  <w:style w:type="paragraph" w:customStyle="1" w:styleId="G5sec60">
    <w:name w:val="G5sec6'"/>
    <w:basedOn w:val="Normal"/>
    <w:uiPriority w:val="99"/>
    <w:rsid w:val="00B63E0F"/>
    <w:pPr>
      <w:widowControl w:val="0"/>
      <w:numPr>
        <w:numId w:val="60"/>
      </w:numPr>
      <w:autoSpaceDE w:val="0"/>
      <w:autoSpaceDN w:val="0"/>
      <w:adjustRightInd w:val="0"/>
      <w:spacing w:before="240" w:line="360" w:lineRule="auto"/>
      <w:jc w:val="center"/>
    </w:pPr>
    <w:rPr>
      <w:rFonts w:eastAsia="Calibri"/>
      <w:u w:val="single"/>
      <w:lang w:eastAsia="en-US"/>
    </w:rPr>
  </w:style>
  <w:style w:type="paragraph" w:customStyle="1" w:styleId="T5sec1b">
    <w:name w:val="T5sec1b"/>
    <w:basedOn w:val="Normal"/>
    <w:uiPriority w:val="99"/>
    <w:rsid w:val="00B63E0F"/>
    <w:pPr>
      <w:numPr>
        <w:numId w:val="61"/>
      </w:numPr>
      <w:spacing w:before="240" w:line="276" w:lineRule="auto"/>
      <w:jc w:val="center"/>
    </w:pPr>
    <w:rPr>
      <w:rFonts w:eastAsia="Calibri"/>
      <w:u w:val="single"/>
      <w:lang w:eastAsia="en-US"/>
    </w:rPr>
  </w:style>
  <w:style w:type="paragraph" w:customStyle="1" w:styleId="T5sec1c">
    <w:name w:val="T5sec1c"/>
    <w:basedOn w:val="T5sec2b0"/>
    <w:uiPriority w:val="99"/>
    <w:rsid w:val="00B63E0F"/>
    <w:pPr>
      <w:numPr>
        <w:numId w:val="62"/>
      </w:numPr>
    </w:pPr>
  </w:style>
  <w:style w:type="paragraph" w:customStyle="1" w:styleId="T5sec1d">
    <w:name w:val="T5sec1d"/>
    <w:basedOn w:val="T5sec2c"/>
    <w:uiPriority w:val="99"/>
    <w:rsid w:val="00B63E0F"/>
    <w:pPr>
      <w:numPr>
        <w:numId w:val="63"/>
      </w:numPr>
      <w:spacing w:line="240" w:lineRule="auto"/>
    </w:pPr>
  </w:style>
  <w:style w:type="paragraph" w:customStyle="1" w:styleId="G5sec1b">
    <w:name w:val="G5sec1b"/>
    <w:basedOn w:val="G5sec1"/>
    <w:uiPriority w:val="99"/>
    <w:rsid w:val="00B63E0F"/>
    <w:pPr>
      <w:numPr>
        <w:numId w:val="64"/>
      </w:numPr>
    </w:pPr>
  </w:style>
  <w:style w:type="paragraph" w:customStyle="1" w:styleId="G5sec1c">
    <w:name w:val="G5sec1c"/>
    <w:basedOn w:val="G5sec1"/>
    <w:uiPriority w:val="99"/>
    <w:rsid w:val="00B63E0F"/>
    <w:pPr>
      <w:numPr>
        <w:numId w:val="65"/>
      </w:numPr>
    </w:pPr>
  </w:style>
  <w:style w:type="paragraph" w:customStyle="1" w:styleId="A2a">
    <w:name w:val="A2a"/>
    <w:basedOn w:val="Normal"/>
    <w:uiPriority w:val="99"/>
    <w:rsid w:val="00B63E0F"/>
    <w:pPr>
      <w:numPr>
        <w:numId w:val="67"/>
      </w:numPr>
      <w:spacing w:before="240" w:line="276" w:lineRule="auto"/>
      <w:jc w:val="both"/>
    </w:pPr>
    <w:rPr>
      <w:rFonts w:eastAsia="Calibri"/>
      <w:i/>
      <w:iCs/>
      <w:u w:val="single"/>
      <w:lang w:eastAsia="en-US"/>
    </w:rPr>
  </w:style>
  <w:style w:type="paragraph" w:customStyle="1" w:styleId="A2b">
    <w:name w:val="A2b"/>
    <w:basedOn w:val="A2a"/>
    <w:uiPriority w:val="99"/>
    <w:rsid w:val="00B63E0F"/>
    <w:pPr>
      <w:numPr>
        <w:numId w:val="68"/>
      </w:numPr>
    </w:pPr>
  </w:style>
  <w:style w:type="paragraph" w:customStyle="1" w:styleId="Style1">
    <w:name w:val="Style1"/>
    <w:basedOn w:val="A2b"/>
    <w:uiPriority w:val="99"/>
    <w:rsid w:val="00B63E0F"/>
  </w:style>
  <w:style w:type="paragraph" w:customStyle="1" w:styleId="A2c">
    <w:name w:val="A2c"/>
    <w:basedOn w:val="Style1"/>
    <w:uiPriority w:val="99"/>
    <w:rsid w:val="00B63E0F"/>
    <w:pPr>
      <w:numPr>
        <w:numId w:val="69"/>
      </w:numPr>
    </w:pPr>
  </w:style>
  <w:style w:type="paragraph" w:customStyle="1" w:styleId="A2d">
    <w:name w:val="A2d"/>
    <w:basedOn w:val="A2c"/>
    <w:uiPriority w:val="99"/>
    <w:rsid w:val="00B63E0F"/>
    <w:pPr>
      <w:numPr>
        <w:numId w:val="70"/>
      </w:numPr>
    </w:pPr>
  </w:style>
  <w:style w:type="paragraph" w:customStyle="1" w:styleId="A2e">
    <w:name w:val="A2e"/>
    <w:basedOn w:val="A2d"/>
    <w:uiPriority w:val="99"/>
    <w:rsid w:val="00B63E0F"/>
    <w:pPr>
      <w:numPr>
        <w:numId w:val="71"/>
      </w:numPr>
    </w:pPr>
  </w:style>
  <w:style w:type="paragraph" w:customStyle="1" w:styleId="A2f">
    <w:name w:val="A2f"/>
    <w:basedOn w:val="A2e"/>
    <w:uiPriority w:val="99"/>
    <w:rsid w:val="00B63E0F"/>
    <w:pPr>
      <w:numPr>
        <w:numId w:val="72"/>
      </w:numPr>
    </w:pPr>
  </w:style>
  <w:style w:type="paragraph" w:customStyle="1" w:styleId="A">
    <w:name w:val="A"/>
    <w:basedOn w:val="A1"/>
    <w:uiPriority w:val="99"/>
    <w:rsid w:val="00B63E0F"/>
    <w:pPr>
      <w:numPr>
        <w:numId w:val="0"/>
      </w:numPr>
      <w:ind w:left="720"/>
    </w:pPr>
    <w:rPr>
      <w:b/>
      <w:bCs/>
      <w:i/>
      <w:iCs/>
      <w:sz w:val="28"/>
      <w:szCs w:val="28"/>
      <w:u w:val="none"/>
    </w:rPr>
  </w:style>
  <w:style w:type="paragraph" w:customStyle="1" w:styleId="A10">
    <w:name w:val="A'1"/>
    <w:basedOn w:val="Normal"/>
    <w:uiPriority w:val="99"/>
    <w:rsid w:val="00B63E0F"/>
    <w:pPr>
      <w:widowControl w:val="0"/>
      <w:autoSpaceDE w:val="0"/>
      <w:autoSpaceDN w:val="0"/>
      <w:adjustRightInd w:val="0"/>
      <w:spacing w:before="240" w:line="360" w:lineRule="auto"/>
      <w:jc w:val="center"/>
    </w:pPr>
    <w:rPr>
      <w:rFonts w:eastAsia="Calibri"/>
      <w:u w:val="single"/>
      <w:lang w:eastAsia="en-US"/>
    </w:rPr>
  </w:style>
  <w:style w:type="paragraph" w:customStyle="1" w:styleId="A2">
    <w:name w:val="A'2"/>
    <w:basedOn w:val="A10"/>
    <w:uiPriority w:val="99"/>
    <w:rsid w:val="00B63E0F"/>
    <w:rPr>
      <w:i/>
      <w:iCs/>
      <w:noProof/>
    </w:rPr>
  </w:style>
  <w:style w:type="paragraph" w:styleId="Rvision">
    <w:name w:val="Revision"/>
    <w:hidden/>
    <w:uiPriority w:val="99"/>
    <w:semiHidden/>
    <w:rsid w:val="00B63E0F"/>
    <w:pPr>
      <w:spacing w:before="240" w:after="100" w:afterAutospacing="1" w:line="276" w:lineRule="auto"/>
      <w:jc w:val="both"/>
    </w:pPr>
    <w:rPr>
      <w:rFonts w:cs="Calibri"/>
      <w:lang w:eastAsia="en-US"/>
    </w:rPr>
  </w:style>
  <w:style w:type="paragraph" w:customStyle="1" w:styleId="texte1">
    <w:name w:val="texte 1"/>
    <w:basedOn w:val="Normal"/>
    <w:link w:val="texte1Car"/>
    <w:uiPriority w:val="99"/>
    <w:rsid w:val="00B63E0F"/>
    <w:pPr>
      <w:spacing w:before="80" w:after="100"/>
      <w:jc w:val="both"/>
    </w:pPr>
    <w:rPr>
      <w:rFonts w:ascii="Arial" w:hAnsi="Arial" w:cs="Arial"/>
      <w:sz w:val="20"/>
      <w:szCs w:val="20"/>
      <w:lang w:val="fr-BE"/>
    </w:rPr>
  </w:style>
  <w:style w:type="character" w:customStyle="1" w:styleId="texte1Car">
    <w:name w:val="texte 1 Car"/>
    <w:link w:val="texte1"/>
    <w:uiPriority w:val="99"/>
    <w:locked/>
    <w:rsid w:val="00B63E0F"/>
    <w:rPr>
      <w:rFonts w:ascii="Arial" w:hAnsi="Arial" w:cs="Arial"/>
      <w:sz w:val="24"/>
      <w:szCs w:val="24"/>
      <w:lang w:val="fr-BE" w:eastAsia="fr-FR"/>
    </w:rPr>
  </w:style>
  <w:style w:type="paragraph" w:customStyle="1" w:styleId="Default">
    <w:name w:val="Default"/>
    <w:rsid w:val="00B63E0F"/>
    <w:pPr>
      <w:widowControl w:val="0"/>
      <w:autoSpaceDE w:val="0"/>
      <w:autoSpaceDN w:val="0"/>
      <w:adjustRightInd w:val="0"/>
    </w:pPr>
    <w:rPr>
      <w:rFonts w:ascii="Times New Roman" w:eastAsia="Times New Roman" w:hAnsi="Times New Roman"/>
      <w:color w:val="000000"/>
      <w:sz w:val="24"/>
      <w:szCs w:val="24"/>
    </w:rPr>
  </w:style>
  <w:style w:type="paragraph" w:styleId="NormalWeb">
    <w:name w:val="Normal (Web)"/>
    <w:basedOn w:val="Normal"/>
    <w:uiPriority w:val="99"/>
    <w:semiHidden/>
    <w:rsid w:val="00B63E0F"/>
    <w:pPr>
      <w:spacing w:before="100" w:beforeAutospacing="1" w:after="100" w:afterAutospacing="1"/>
    </w:pPr>
    <w:rPr>
      <w:rFonts w:ascii="Times" w:hAnsi="Times" w:cs="Times"/>
      <w:sz w:val="20"/>
      <w:szCs w:val="20"/>
    </w:rPr>
  </w:style>
  <w:style w:type="paragraph" w:customStyle="1" w:styleId="EndNoteBibliographyTitle">
    <w:name w:val="EndNote Bibliography Title"/>
    <w:basedOn w:val="Normal"/>
    <w:link w:val="EndNoteBibliographyTitleCar"/>
    <w:uiPriority w:val="99"/>
    <w:rsid w:val="008010F6"/>
    <w:pPr>
      <w:jc w:val="center"/>
    </w:pPr>
    <w:rPr>
      <w:noProof/>
    </w:rPr>
  </w:style>
  <w:style w:type="character" w:customStyle="1" w:styleId="EndNoteBibliographyTitleCar">
    <w:name w:val="EndNote Bibliography Title Car"/>
    <w:basedOn w:val="Policepardfaut"/>
    <w:link w:val="EndNoteBibliographyTitle"/>
    <w:uiPriority w:val="99"/>
    <w:locked/>
    <w:rsid w:val="008010F6"/>
    <w:rPr>
      <w:rFonts w:ascii="Times New Roman" w:eastAsia="Times New Roman" w:hAnsi="Times New Roman"/>
      <w:noProof/>
      <w:sz w:val="24"/>
      <w:szCs w:val="24"/>
    </w:rPr>
  </w:style>
  <w:style w:type="paragraph" w:customStyle="1" w:styleId="EndNoteBibliography">
    <w:name w:val="EndNote Bibliography"/>
    <w:basedOn w:val="Normal"/>
    <w:link w:val="EndNoteBibliographyCar"/>
    <w:uiPriority w:val="99"/>
    <w:rsid w:val="008010F6"/>
    <w:rPr>
      <w:noProof/>
    </w:rPr>
  </w:style>
  <w:style w:type="character" w:customStyle="1" w:styleId="EndNoteBibliographyCar">
    <w:name w:val="EndNote Bibliography Car"/>
    <w:basedOn w:val="Policepardfaut"/>
    <w:link w:val="EndNoteBibliography"/>
    <w:uiPriority w:val="99"/>
    <w:locked/>
    <w:rsid w:val="008010F6"/>
    <w:rPr>
      <w:rFonts w:ascii="Times New Roman" w:eastAsia="Times New Roman" w:hAnsi="Times New Roman"/>
      <w:noProof/>
      <w:sz w:val="24"/>
      <w:szCs w:val="24"/>
    </w:rPr>
  </w:style>
  <w:style w:type="paragraph" w:styleId="Citationintense">
    <w:name w:val="Intense Quote"/>
    <w:aliases w:val="chapitre"/>
    <w:basedOn w:val="Normal"/>
    <w:next w:val="Normal"/>
    <w:link w:val="CitationintenseCar"/>
    <w:uiPriority w:val="30"/>
    <w:qFormat/>
    <w:rsid w:val="00D02614"/>
    <w:pPr>
      <w:pBdr>
        <w:top w:val="single" w:sz="4" w:space="10" w:color="5B9BD5"/>
        <w:bottom w:val="single" w:sz="4" w:space="10" w:color="5B9BD5"/>
      </w:pBdr>
      <w:spacing w:before="360" w:after="360" w:line="276" w:lineRule="auto"/>
      <w:ind w:left="864" w:right="864"/>
      <w:jc w:val="center"/>
    </w:pPr>
    <w:rPr>
      <w:rFonts w:ascii="Berlin Sans FB" w:eastAsia="SimSun" w:hAnsi="Berlin Sans FB"/>
      <w:b/>
      <w:iCs/>
      <w:caps/>
      <w:color w:val="5B9BD5"/>
      <w:sz w:val="32"/>
      <w:szCs w:val="22"/>
      <w:lang w:val="en-US" w:eastAsia="en-US"/>
    </w:rPr>
  </w:style>
  <w:style w:type="character" w:customStyle="1" w:styleId="CitationintenseCar">
    <w:name w:val="Citation intense Car"/>
    <w:aliases w:val="chapitre Car"/>
    <w:basedOn w:val="Policepardfaut"/>
    <w:link w:val="Citationintense"/>
    <w:uiPriority w:val="30"/>
    <w:rsid w:val="00D02614"/>
    <w:rPr>
      <w:rFonts w:ascii="Berlin Sans FB" w:eastAsia="SimSun" w:hAnsi="Berlin Sans FB"/>
      <w:b/>
      <w:iCs/>
      <w:caps/>
      <w:color w:val="5B9BD5"/>
      <w:sz w:val="32"/>
      <w:lang w:val="en-US" w:eastAsia="en-US"/>
    </w:rPr>
  </w:style>
  <w:style w:type="paragraph" w:styleId="En-ttedetabledesmatires">
    <w:name w:val="TOC Heading"/>
    <w:basedOn w:val="Titre1"/>
    <w:next w:val="Normal"/>
    <w:uiPriority w:val="39"/>
    <w:unhideWhenUsed/>
    <w:qFormat/>
    <w:rsid w:val="00673B0A"/>
    <w:pPr>
      <w:spacing w:before="240" w:after="0" w:line="259" w:lineRule="auto"/>
      <w:jc w:val="left"/>
      <w:outlineLvl w:val="9"/>
    </w:pPr>
    <w:rPr>
      <w:rFonts w:asciiTheme="majorHAnsi" w:eastAsiaTheme="majorEastAsia" w:hAnsiTheme="majorHAnsi" w:cstheme="majorBidi"/>
      <w:b w:val="0"/>
      <w:bCs w:val="0"/>
      <w:smallCaps w:val="0"/>
      <w:color w:val="365F91" w:themeColor="accent1" w:themeShade="BF"/>
      <w:sz w:val="32"/>
      <w:szCs w:val="32"/>
      <w:lang w:val="fr-CA" w:eastAsia="fr-CA"/>
    </w:rPr>
  </w:style>
  <w:style w:type="numbering" w:customStyle="1" w:styleId="Style2">
    <w:name w:val="Style2"/>
    <w:uiPriority w:val="99"/>
    <w:rsid w:val="00112804"/>
    <w:pPr>
      <w:numPr>
        <w:numId w:val="80"/>
      </w:numPr>
    </w:pPr>
  </w:style>
  <w:style w:type="numbering" w:customStyle="1" w:styleId="Style3">
    <w:name w:val="Style3"/>
    <w:uiPriority w:val="99"/>
    <w:rsid w:val="009618DD"/>
    <w:pPr>
      <w:numPr>
        <w:numId w:val="84"/>
      </w:numPr>
    </w:pPr>
  </w:style>
  <w:style w:type="numbering" w:customStyle="1" w:styleId="Style4">
    <w:name w:val="Style4"/>
    <w:uiPriority w:val="99"/>
    <w:rsid w:val="00624777"/>
    <w:pPr>
      <w:numPr>
        <w:numId w:val="100"/>
      </w:numPr>
    </w:pPr>
  </w:style>
  <w:style w:type="numbering" w:customStyle="1" w:styleId="Style5">
    <w:name w:val="Style5"/>
    <w:uiPriority w:val="99"/>
    <w:rsid w:val="00BE4BA2"/>
    <w:pPr>
      <w:numPr>
        <w:numId w:val="111"/>
      </w:numPr>
    </w:pPr>
  </w:style>
  <w:style w:type="paragraph" w:styleId="Sansinterligne">
    <w:name w:val="No Spacing"/>
    <w:uiPriority w:val="1"/>
    <w:qFormat/>
    <w:rsid w:val="005E55CA"/>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17933613">
      <w:bodyDiv w:val="1"/>
      <w:marLeft w:val="0"/>
      <w:marRight w:val="0"/>
      <w:marTop w:val="0"/>
      <w:marBottom w:val="0"/>
      <w:divBdr>
        <w:top w:val="none" w:sz="0" w:space="0" w:color="auto"/>
        <w:left w:val="none" w:sz="0" w:space="0" w:color="auto"/>
        <w:bottom w:val="none" w:sz="0" w:space="0" w:color="auto"/>
        <w:right w:val="none" w:sz="0" w:space="0" w:color="auto"/>
      </w:divBdr>
    </w:div>
    <w:div w:id="391539712">
      <w:bodyDiv w:val="1"/>
      <w:marLeft w:val="0"/>
      <w:marRight w:val="0"/>
      <w:marTop w:val="0"/>
      <w:marBottom w:val="0"/>
      <w:divBdr>
        <w:top w:val="none" w:sz="0" w:space="0" w:color="auto"/>
        <w:left w:val="none" w:sz="0" w:space="0" w:color="auto"/>
        <w:bottom w:val="none" w:sz="0" w:space="0" w:color="auto"/>
        <w:right w:val="none" w:sz="0" w:space="0" w:color="auto"/>
      </w:divBdr>
      <w:divsChild>
        <w:div w:id="1036196510">
          <w:marLeft w:val="547"/>
          <w:marRight w:val="0"/>
          <w:marTop w:val="154"/>
          <w:marBottom w:val="0"/>
          <w:divBdr>
            <w:top w:val="none" w:sz="0" w:space="0" w:color="auto"/>
            <w:left w:val="none" w:sz="0" w:space="0" w:color="auto"/>
            <w:bottom w:val="none" w:sz="0" w:space="0" w:color="auto"/>
            <w:right w:val="none" w:sz="0" w:space="0" w:color="auto"/>
          </w:divBdr>
        </w:div>
        <w:div w:id="399059050">
          <w:marLeft w:val="547"/>
          <w:marRight w:val="0"/>
          <w:marTop w:val="154"/>
          <w:marBottom w:val="0"/>
          <w:divBdr>
            <w:top w:val="none" w:sz="0" w:space="0" w:color="auto"/>
            <w:left w:val="none" w:sz="0" w:space="0" w:color="auto"/>
            <w:bottom w:val="none" w:sz="0" w:space="0" w:color="auto"/>
            <w:right w:val="none" w:sz="0" w:space="0" w:color="auto"/>
          </w:divBdr>
        </w:div>
        <w:div w:id="455490912">
          <w:marLeft w:val="547"/>
          <w:marRight w:val="0"/>
          <w:marTop w:val="154"/>
          <w:marBottom w:val="0"/>
          <w:divBdr>
            <w:top w:val="none" w:sz="0" w:space="0" w:color="auto"/>
            <w:left w:val="none" w:sz="0" w:space="0" w:color="auto"/>
            <w:bottom w:val="none" w:sz="0" w:space="0" w:color="auto"/>
            <w:right w:val="none" w:sz="0" w:space="0" w:color="auto"/>
          </w:divBdr>
        </w:div>
        <w:div w:id="543761986">
          <w:marLeft w:val="547"/>
          <w:marRight w:val="0"/>
          <w:marTop w:val="154"/>
          <w:marBottom w:val="0"/>
          <w:divBdr>
            <w:top w:val="none" w:sz="0" w:space="0" w:color="auto"/>
            <w:left w:val="none" w:sz="0" w:space="0" w:color="auto"/>
            <w:bottom w:val="none" w:sz="0" w:space="0" w:color="auto"/>
            <w:right w:val="none" w:sz="0" w:space="0" w:color="auto"/>
          </w:divBdr>
        </w:div>
        <w:div w:id="1742481112">
          <w:marLeft w:val="547"/>
          <w:marRight w:val="0"/>
          <w:marTop w:val="154"/>
          <w:marBottom w:val="0"/>
          <w:divBdr>
            <w:top w:val="none" w:sz="0" w:space="0" w:color="auto"/>
            <w:left w:val="none" w:sz="0" w:space="0" w:color="auto"/>
            <w:bottom w:val="none" w:sz="0" w:space="0" w:color="auto"/>
            <w:right w:val="none" w:sz="0" w:space="0" w:color="auto"/>
          </w:divBdr>
        </w:div>
        <w:div w:id="1512376711">
          <w:marLeft w:val="547"/>
          <w:marRight w:val="0"/>
          <w:marTop w:val="154"/>
          <w:marBottom w:val="0"/>
          <w:divBdr>
            <w:top w:val="none" w:sz="0" w:space="0" w:color="auto"/>
            <w:left w:val="none" w:sz="0" w:space="0" w:color="auto"/>
            <w:bottom w:val="none" w:sz="0" w:space="0" w:color="auto"/>
            <w:right w:val="none" w:sz="0" w:space="0" w:color="auto"/>
          </w:divBdr>
        </w:div>
      </w:divsChild>
    </w:div>
    <w:div w:id="447550451">
      <w:bodyDiv w:val="1"/>
      <w:marLeft w:val="0"/>
      <w:marRight w:val="0"/>
      <w:marTop w:val="0"/>
      <w:marBottom w:val="0"/>
      <w:divBdr>
        <w:top w:val="none" w:sz="0" w:space="0" w:color="auto"/>
        <w:left w:val="none" w:sz="0" w:space="0" w:color="auto"/>
        <w:bottom w:val="none" w:sz="0" w:space="0" w:color="auto"/>
        <w:right w:val="none" w:sz="0" w:space="0" w:color="auto"/>
      </w:divBdr>
    </w:div>
    <w:div w:id="510030436">
      <w:bodyDiv w:val="1"/>
      <w:marLeft w:val="0"/>
      <w:marRight w:val="0"/>
      <w:marTop w:val="0"/>
      <w:marBottom w:val="0"/>
      <w:divBdr>
        <w:top w:val="none" w:sz="0" w:space="0" w:color="auto"/>
        <w:left w:val="none" w:sz="0" w:space="0" w:color="auto"/>
        <w:bottom w:val="none" w:sz="0" w:space="0" w:color="auto"/>
        <w:right w:val="none" w:sz="0" w:space="0" w:color="auto"/>
      </w:divBdr>
    </w:div>
    <w:div w:id="713962957">
      <w:bodyDiv w:val="1"/>
      <w:marLeft w:val="0"/>
      <w:marRight w:val="0"/>
      <w:marTop w:val="0"/>
      <w:marBottom w:val="0"/>
      <w:divBdr>
        <w:top w:val="none" w:sz="0" w:space="0" w:color="auto"/>
        <w:left w:val="none" w:sz="0" w:space="0" w:color="auto"/>
        <w:bottom w:val="none" w:sz="0" w:space="0" w:color="auto"/>
        <w:right w:val="none" w:sz="0" w:space="0" w:color="auto"/>
      </w:divBdr>
    </w:div>
    <w:div w:id="827596339">
      <w:bodyDiv w:val="1"/>
      <w:marLeft w:val="0"/>
      <w:marRight w:val="0"/>
      <w:marTop w:val="0"/>
      <w:marBottom w:val="0"/>
      <w:divBdr>
        <w:top w:val="none" w:sz="0" w:space="0" w:color="auto"/>
        <w:left w:val="none" w:sz="0" w:space="0" w:color="auto"/>
        <w:bottom w:val="none" w:sz="0" w:space="0" w:color="auto"/>
        <w:right w:val="none" w:sz="0" w:space="0" w:color="auto"/>
      </w:divBdr>
    </w:div>
    <w:div w:id="1083144978">
      <w:marLeft w:val="0"/>
      <w:marRight w:val="0"/>
      <w:marTop w:val="0"/>
      <w:marBottom w:val="0"/>
      <w:divBdr>
        <w:top w:val="none" w:sz="0" w:space="0" w:color="auto"/>
        <w:left w:val="none" w:sz="0" w:space="0" w:color="auto"/>
        <w:bottom w:val="none" w:sz="0" w:space="0" w:color="auto"/>
        <w:right w:val="none" w:sz="0" w:space="0" w:color="auto"/>
      </w:divBdr>
    </w:div>
    <w:div w:id="1083144980">
      <w:marLeft w:val="0"/>
      <w:marRight w:val="0"/>
      <w:marTop w:val="0"/>
      <w:marBottom w:val="0"/>
      <w:divBdr>
        <w:top w:val="none" w:sz="0" w:space="0" w:color="auto"/>
        <w:left w:val="none" w:sz="0" w:space="0" w:color="auto"/>
        <w:bottom w:val="none" w:sz="0" w:space="0" w:color="auto"/>
        <w:right w:val="none" w:sz="0" w:space="0" w:color="auto"/>
      </w:divBdr>
    </w:div>
    <w:div w:id="1083144982">
      <w:marLeft w:val="0"/>
      <w:marRight w:val="0"/>
      <w:marTop w:val="0"/>
      <w:marBottom w:val="0"/>
      <w:divBdr>
        <w:top w:val="none" w:sz="0" w:space="0" w:color="auto"/>
        <w:left w:val="none" w:sz="0" w:space="0" w:color="auto"/>
        <w:bottom w:val="none" w:sz="0" w:space="0" w:color="auto"/>
        <w:right w:val="none" w:sz="0" w:space="0" w:color="auto"/>
      </w:divBdr>
    </w:div>
    <w:div w:id="1083144983">
      <w:marLeft w:val="0"/>
      <w:marRight w:val="0"/>
      <w:marTop w:val="0"/>
      <w:marBottom w:val="0"/>
      <w:divBdr>
        <w:top w:val="none" w:sz="0" w:space="0" w:color="auto"/>
        <w:left w:val="none" w:sz="0" w:space="0" w:color="auto"/>
        <w:bottom w:val="none" w:sz="0" w:space="0" w:color="auto"/>
        <w:right w:val="none" w:sz="0" w:space="0" w:color="auto"/>
      </w:divBdr>
    </w:div>
    <w:div w:id="1083144984">
      <w:marLeft w:val="0"/>
      <w:marRight w:val="0"/>
      <w:marTop w:val="0"/>
      <w:marBottom w:val="0"/>
      <w:divBdr>
        <w:top w:val="none" w:sz="0" w:space="0" w:color="auto"/>
        <w:left w:val="none" w:sz="0" w:space="0" w:color="auto"/>
        <w:bottom w:val="none" w:sz="0" w:space="0" w:color="auto"/>
        <w:right w:val="none" w:sz="0" w:space="0" w:color="auto"/>
      </w:divBdr>
    </w:div>
    <w:div w:id="1083144985">
      <w:marLeft w:val="0"/>
      <w:marRight w:val="0"/>
      <w:marTop w:val="0"/>
      <w:marBottom w:val="0"/>
      <w:divBdr>
        <w:top w:val="none" w:sz="0" w:space="0" w:color="auto"/>
        <w:left w:val="none" w:sz="0" w:space="0" w:color="auto"/>
        <w:bottom w:val="none" w:sz="0" w:space="0" w:color="auto"/>
        <w:right w:val="none" w:sz="0" w:space="0" w:color="auto"/>
      </w:divBdr>
    </w:div>
    <w:div w:id="1083144989">
      <w:marLeft w:val="0"/>
      <w:marRight w:val="0"/>
      <w:marTop w:val="0"/>
      <w:marBottom w:val="0"/>
      <w:divBdr>
        <w:top w:val="none" w:sz="0" w:space="0" w:color="auto"/>
        <w:left w:val="none" w:sz="0" w:space="0" w:color="auto"/>
        <w:bottom w:val="none" w:sz="0" w:space="0" w:color="auto"/>
        <w:right w:val="none" w:sz="0" w:space="0" w:color="auto"/>
      </w:divBdr>
    </w:div>
    <w:div w:id="1083144990">
      <w:marLeft w:val="0"/>
      <w:marRight w:val="0"/>
      <w:marTop w:val="0"/>
      <w:marBottom w:val="0"/>
      <w:divBdr>
        <w:top w:val="none" w:sz="0" w:space="0" w:color="auto"/>
        <w:left w:val="none" w:sz="0" w:space="0" w:color="auto"/>
        <w:bottom w:val="none" w:sz="0" w:space="0" w:color="auto"/>
        <w:right w:val="none" w:sz="0" w:space="0" w:color="auto"/>
      </w:divBdr>
    </w:div>
    <w:div w:id="1083144991">
      <w:marLeft w:val="0"/>
      <w:marRight w:val="0"/>
      <w:marTop w:val="0"/>
      <w:marBottom w:val="0"/>
      <w:divBdr>
        <w:top w:val="none" w:sz="0" w:space="0" w:color="auto"/>
        <w:left w:val="none" w:sz="0" w:space="0" w:color="auto"/>
        <w:bottom w:val="none" w:sz="0" w:space="0" w:color="auto"/>
        <w:right w:val="none" w:sz="0" w:space="0" w:color="auto"/>
      </w:divBdr>
    </w:div>
    <w:div w:id="1083144992">
      <w:marLeft w:val="0"/>
      <w:marRight w:val="0"/>
      <w:marTop w:val="0"/>
      <w:marBottom w:val="0"/>
      <w:divBdr>
        <w:top w:val="none" w:sz="0" w:space="0" w:color="auto"/>
        <w:left w:val="none" w:sz="0" w:space="0" w:color="auto"/>
        <w:bottom w:val="none" w:sz="0" w:space="0" w:color="auto"/>
        <w:right w:val="none" w:sz="0" w:space="0" w:color="auto"/>
      </w:divBdr>
    </w:div>
    <w:div w:id="1083144993">
      <w:marLeft w:val="0"/>
      <w:marRight w:val="0"/>
      <w:marTop w:val="0"/>
      <w:marBottom w:val="0"/>
      <w:divBdr>
        <w:top w:val="none" w:sz="0" w:space="0" w:color="auto"/>
        <w:left w:val="none" w:sz="0" w:space="0" w:color="auto"/>
        <w:bottom w:val="none" w:sz="0" w:space="0" w:color="auto"/>
        <w:right w:val="none" w:sz="0" w:space="0" w:color="auto"/>
      </w:divBdr>
      <w:divsChild>
        <w:div w:id="1083144979">
          <w:marLeft w:val="0"/>
          <w:marRight w:val="0"/>
          <w:marTop w:val="0"/>
          <w:marBottom w:val="0"/>
          <w:divBdr>
            <w:top w:val="none" w:sz="0" w:space="0" w:color="auto"/>
            <w:left w:val="none" w:sz="0" w:space="0" w:color="auto"/>
            <w:bottom w:val="none" w:sz="0" w:space="0" w:color="auto"/>
            <w:right w:val="none" w:sz="0" w:space="0" w:color="auto"/>
          </w:divBdr>
          <w:divsChild>
            <w:div w:id="1083144986">
              <w:marLeft w:val="0"/>
              <w:marRight w:val="0"/>
              <w:marTop w:val="0"/>
              <w:marBottom w:val="0"/>
              <w:divBdr>
                <w:top w:val="none" w:sz="0" w:space="0" w:color="auto"/>
                <w:left w:val="none" w:sz="0" w:space="0" w:color="auto"/>
                <w:bottom w:val="none" w:sz="0" w:space="0" w:color="auto"/>
                <w:right w:val="none" w:sz="0" w:space="0" w:color="auto"/>
              </w:divBdr>
              <w:divsChild>
                <w:div w:id="10831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44988">
          <w:marLeft w:val="0"/>
          <w:marRight w:val="0"/>
          <w:marTop w:val="0"/>
          <w:marBottom w:val="0"/>
          <w:divBdr>
            <w:top w:val="none" w:sz="0" w:space="0" w:color="auto"/>
            <w:left w:val="none" w:sz="0" w:space="0" w:color="auto"/>
            <w:bottom w:val="none" w:sz="0" w:space="0" w:color="auto"/>
            <w:right w:val="none" w:sz="0" w:space="0" w:color="auto"/>
          </w:divBdr>
          <w:divsChild>
            <w:div w:id="1083144987">
              <w:marLeft w:val="0"/>
              <w:marRight w:val="0"/>
              <w:marTop w:val="0"/>
              <w:marBottom w:val="0"/>
              <w:divBdr>
                <w:top w:val="none" w:sz="0" w:space="0" w:color="auto"/>
                <w:left w:val="none" w:sz="0" w:space="0" w:color="auto"/>
                <w:bottom w:val="none" w:sz="0" w:space="0" w:color="auto"/>
                <w:right w:val="none" w:sz="0" w:space="0" w:color="auto"/>
              </w:divBdr>
              <w:divsChild>
                <w:div w:id="1083144981">
                  <w:marLeft w:val="0"/>
                  <w:marRight w:val="0"/>
                  <w:marTop w:val="0"/>
                  <w:marBottom w:val="0"/>
                  <w:divBdr>
                    <w:top w:val="none" w:sz="0" w:space="0" w:color="auto"/>
                    <w:left w:val="none" w:sz="0" w:space="0" w:color="auto"/>
                    <w:bottom w:val="none" w:sz="0" w:space="0" w:color="auto"/>
                    <w:right w:val="none" w:sz="0" w:space="0" w:color="auto"/>
                  </w:divBdr>
                  <w:divsChild>
                    <w:div w:id="10831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144994">
      <w:marLeft w:val="0"/>
      <w:marRight w:val="0"/>
      <w:marTop w:val="0"/>
      <w:marBottom w:val="0"/>
      <w:divBdr>
        <w:top w:val="none" w:sz="0" w:space="0" w:color="auto"/>
        <w:left w:val="none" w:sz="0" w:space="0" w:color="auto"/>
        <w:bottom w:val="none" w:sz="0" w:space="0" w:color="auto"/>
        <w:right w:val="none" w:sz="0" w:space="0" w:color="auto"/>
      </w:divBdr>
    </w:div>
    <w:div w:id="1083144995">
      <w:marLeft w:val="0"/>
      <w:marRight w:val="0"/>
      <w:marTop w:val="0"/>
      <w:marBottom w:val="0"/>
      <w:divBdr>
        <w:top w:val="none" w:sz="0" w:space="0" w:color="auto"/>
        <w:left w:val="none" w:sz="0" w:space="0" w:color="auto"/>
        <w:bottom w:val="none" w:sz="0" w:space="0" w:color="auto"/>
        <w:right w:val="none" w:sz="0" w:space="0" w:color="auto"/>
      </w:divBdr>
    </w:div>
    <w:div w:id="1083144997">
      <w:marLeft w:val="0"/>
      <w:marRight w:val="0"/>
      <w:marTop w:val="0"/>
      <w:marBottom w:val="0"/>
      <w:divBdr>
        <w:top w:val="none" w:sz="0" w:space="0" w:color="auto"/>
        <w:left w:val="none" w:sz="0" w:space="0" w:color="auto"/>
        <w:bottom w:val="none" w:sz="0" w:space="0" w:color="auto"/>
        <w:right w:val="none" w:sz="0" w:space="0" w:color="auto"/>
      </w:divBdr>
    </w:div>
    <w:div w:id="1083144999">
      <w:marLeft w:val="0"/>
      <w:marRight w:val="0"/>
      <w:marTop w:val="0"/>
      <w:marBottom w:val="0"/>
      <w:divBdr>
        <w:top w:val="none" w:sz="0" w:space="0" w:color="auto"/>
        <w:left w:val="none" w:sz="0" w:space="0" w:color="auto"/>
        <w:bottom w:val="none" w:sz="0" w:space="0" w:color="auto"/>
        <w:right w:val="none" w:sz="0" w:space="0" w:color="auto"/>
      </w:divBdr>
    </w:div>
    <w:div w:id="1083145000">
      <w:marLeft w:val="0"/>
      <w:marRight w:val="0"/>
      <w:marTop w:val="0"/>
      <w:marBottom w:val="0"/>
      <w:divBdr>
        <w:top w:val="none" w:sz="0" w:space="0" w:color="auto"/>
        <w:left w:val="none" w:sz="0" w:space="0" w:color="auto"/>
        <w:bottom w:val="none" w:sz="0" w:space="0" w:color="auto"/>
        <w:right w:val="none" w:sz="0" w:space="0" w:color="auto"/>
      </w:divBdr>
    </w:div>
    <w:div w:id="1153451765">
      <w:bodyDiv w:val="1"/>
      <w:marLeft w:val="0"/>
      <w:marRight w:val="0"/>
      <w:marTop w:val="0"/>
      <w:marBottom w:val="0"/>
      <w:divBdr>
        <w:top w:val="none" w:sz="0" w:space="0" w:color="auto"/>
        <w:left w:val="none" w:sz="0" w:space="0" w:color="auto"/>
        <w:bottom w:val="none" w:sz="0" w:space="0" w:color="auto"/>
        <w:right w:val="none" w:sz="0" w:space="0" w:color="auto"/>
      </w:divBdr>
    </w:div>
    <w:div w:id="1193692498">
      <w:bodyDiv w:val="1"/>
      <w:marLeft w:val="0"/>
      <w:marRight w:val="0"/>
      <w:marTop w:val="0"/>
      <w:marBottom w:val="0"/>
      <w:divBdr>
        <w:top w:val="none" w:sz="0" w:space="0" w:color="auto"/>
        <w:left w:val="none" w:sz="0" w:space="0" w:color="auto"/>
        <w:bottom w:val="none" w:sz="0" w:space="0" w:color="auto"/>
        <w:right w:val="none" w:sz="0" w:space="0" w:color="auto"/>
      </w:divBdr>
    </w:div>
    <w:div w:id="1203596143">
      <w:bodyDiv w:val="1"/>
      <w:marLeft w:val="0"/>
      <w:marRight w:val="0"/>
      <w:marTop w:val="0"/>
      <w:marBottom w:val="0"/>
      <w:divBdr>
        <w:top w:val="none" w:sz="0" w:space="0" w:color="auto"/>
        <w:left w:val="none" w:sz="0" w:space="0" w:color="auto"/>
        <w:bottom w:val="none" w:sz="0" w:space="0" w:color="auto"/>
        <w:right w:val="none" w:sz="0" w:space="0" w:color="auto"/>
      </w:divBdr>
    </w:div>
    <w:div w:id="1355427406">
      <w:bodyDiv w:val="1"/>
      <w:marLeft w:val="0"/>
      <w:marRight w:val="0"/>
      <w:marTop w:val="0"/>
      <w:marBottom w:val="0"/>
      <w:divBdr>
        <w:top w:val="none" w:sz="0" w:space="0" w:color="auto"/>
        <w:left w:val="none" w:sz="0" w:space="0" w:color="auto"/>
        <w:bottom w:val="none" w:sz="0" w:space="0" w:color="auto"/>
        <w:right w:val="none" w:sz="0" w:space="0" w:color="auto"/>
      </w:divBdr>
    </w:div>
    <w:div w:id="1428191196">
      <w:bodyDiv w:val="1"/>
      <w:marLeft w:val="0"/>
      <w:marRight w:val="0"/>
      <w:marTop w:val="0"/>
      <w:marBottom w:val="0"/>
      <w:divBdr>
        <w:top w:val="none" w:sz="0" w:space="0" w:color="auto"/>
        <w:left w:val="none" w:sz="0" w:space="0" w:color="auto"/>
        <w:bottom w:val="none" w:sz="0" w:space="0" w:color="auto"/>
        <w:right w:val="none" w:sz="0" w:space="0" w:color="auto"/>
      </w:divBdr>
    </w:div>
    <w:div w:id="1482621288">
      <w:bodyDiv w:val="1"/>
      <w:marLeft w:val="0"/>
      <w:marRight w:val="0"/>
      <w:marTop w:val="0"/>
      <w:marBottom w:val="0"/>
      <w:divBdr>
        <w:top w:val="none" w:sz="0" w:space="0" w:color="auto"/>
        <w:left w:val="none" w:sz="0" w:space="0" w:color="auto"/>
        <w:bottom w:val="none" w:sz="0" w:space="0" w:color="auto"/>
        <w:right w:val="none" w:sz="0" w:space="0" w:color="auto"/>
      </w:divBdr>
      <w:divsChild>
        <w:div w:id="1627589383">
          <w:marLeft w:val="547"/>
          <w:marRight w:val="0"/>
          <w:marTop w:val="154"/>
          <w:marBottom w:val="0"/>
          <w:divBdr>
            <w:top w:val="none" w:sz="0" w:space="0" w:color="auto"/>
            <w:left w:val="none" w:sz="0" w:space="0" w:color="auto"/>
            <w:bottom w:val="none" w:sz="0" w:space="0" w:color="auto"/>
            <w:right w:val="none" w:sz="0" w:space="0" w:color="auto"/>
          </w:divBdr>
        </w:div>
        <w:div w:id="1638946170">
          <w:marLeft w:val="547"/>
          <w:marRight w:val="0"/>
          <w:marTop w:val="154"/>
          <w:marBottom w:val="0"/>
          <w:divBdr>
            <w:top w:val="none" w:sz="0" w:space="0" w:color="auto"/>
            <w:left w:val="none" w:sz="0" w:space="0" w:color="auto"/>
            <w:bottom w:val="none" w:sz="0" w:space="0" w:color="auto"/>
            <w:right w:val="none" w:sz="0" w:space="0" w:color="auto"/>
          </w:divBdr>
        </w:div>
      </w:divsChild>
    </w:div>
    <w:div w:id="1545017879">
      <w:bodyDiv w:val="1"/>
      <w:marLeft w:val="0"/>
      <w:marRight w:val="0"/>
      <w:marTop w:val="0"/>
      <w:marBottom w:val="0"/>
      <w:divBdr>
        <w:top w:val="none" w:sz="0" w:space="0" w:color="auto"/>
        <w:left w:val="none" w:sz="0" w:space="0" w:color="auto"/>
        <w:bottom w:val="none" w:sz="0" w:space="0" w:color="auto"/>
        <w:right w:val="none" w:sz="0" w:space="0" w:color="auto"/>
      </w:divBdr>
    </w:div>
    <w:div w:id="1591888090">
      <w:bodyDiv w:val="1"/>
      <w:marLeft w:val="0"/>
      <w:marRight w:val="0"/>
      <w:marTop w:val="0"/>
      <w:marBottom w:val="0"/>
      <w:divBdr>
        <w:top w:val="none" w:sz="0" w:space="0" w:color="auto"/>
        <w:left w:val="none" w:sz="0" w:space="0" w:color="auto"/>
        <w:bottom w:val="none" w:sz="0" w:space="0" w:color="auto"/>
        <w:right w:val="none" w:sz="0" w:space="0" w:color="auto"/>
      </w:divBdr>
    </w:div>
    <w:div w:id="1731268562">
      <w:bodyDiv w:val="1"/>
      <w:marLeft w:val="0"/>
      <w:marRight w:val="0"/>
      <w:marTop w:val="0"/>
      <w:marBottom w:val="0"/>
      <w:divBdr>
        <w:top w:val="none" w:sz="0" w:space="0" w:color="auto"/>
        <w:left w:val="none" w:sz="0" w:space="0" w:color="auto"/>
        <w:bottom w:val="none" w:sz="0" w:space="0" w:color="auto"/>
        <w:right w:val="none" w:sz="0" w:space="0" w:color="auto"/>
      </w:divBdr>
    </w:div>
    <w:div w:id="1781684696">
      <w:bodyDiv w:val="1"/>
      <w:marLeft w:val="0"/>
      <w:marRight w:val="0"/>
      <w:marTop w:val="0"/>
      <w:marBottom w:val="0"/>
      <w:divBdr>
        <w:top w:val="none" w:sz="0" w:space="0" w:color="auto"/>
        <w:left w:val="none" w:sz="0" w:space="0" w:color="auto"/>
        <w:bottom w:val="none" w:sz="0" w:space="0" w:color="auto"/>
        <w:right w:val="none" w:sz="0" w:space="0" w:color="auto"/>
      </w:divBdr>
    </w:div>
    <w:div w:id="1991134485">
      <w:bodyDiv w:val="1"/>
      <w:marLeft w:val="0"/>
      <w:marRight w:val="0"/>
      <w:marTop w:val="0"/>
      <w:marBottom w:val="0"/>
      <w:divBdr>
        <w:top w:val="none" w:sz="0" w:space="0" w:color="auto"/>
        <w:left w:val="none" w:sz="0" w:space="0" w:color="auto"/>
        <w:bottom w:val="none" w:sz="0" w:space="0" w:color="auto"/>
        <w:right w:val="none" w:sz="0" w:space="0" w:color="auto"/>
      </w:divBdr>
    </w:div>
    <w:div w:id="199644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chart" Target="charts/chart5.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8.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PYRAMID.XLS%20Camer%20201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20pc\Desktop\FICHIER%20DEMDIV\489_DemDivModelFINAL.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FORD\Documents\IFORDJOURDEBB&#201;%20BOUBA\Dividende%20d&#233;mographique\489_DemDivModelFINAL.xlsm%20-%20R&#233;sultats%20premier%20atelier%2020-21%20octobre%202016.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Feuil1!$B$4</c:f>
              <c:strCache>
                <c:ptCount val="1"/>
                <c:pt idx="0">
                  <c:v>stock de capital public</c:v>
                </c:pt>
              </c:strCache>
            </c:strRef>
          </c:tx>
          <c:dLbls>
            <c:spPr>
              <a:noFill/>
              <a:ln>
                <a:noFill/>
              </a:ln>
              <a:effectLst/>
            </c:spPr>
            <c:showVal val="1"/>
            <c:extLst>
              <c:ext xmlns:c15="http://schemas.microsoft.com/office/drawing/2012/chart" uri="{CE6537A1-D6FC-4f65-9D91-7224C49458BB}">
                <c15:showLeaderLines val="0"/>
              </c:ext>
            </c:extLst>
          </c:dLbls>
          <c:trendline>
            <c:trendlineType val="linear"/>
          </c:trendline>
          <c:cat>
            <c:numRef>
              <c:f>Feuil1!$C$3:$J$3</c:f>
              <c:numCache>
                <c:formatCode>General</c:formatCode>
                <c:ptCount val="8"/>
                <c:pt idx="0">
                  <c:v>2013</c:v>
                </c:pt>
                <c:pt idx="1">
                  <c:v>2014</c:v>
                </c:pt>
                <c:pt idx="2">
                  <c:v>2015</c:v>
                </c:pt>
                <c:pt idx="3">
                  <c:v>2016</c:v>
                </c:pt>
                <c:pt idx="4">
                  <c:v>2017</c:v>
                </c:pt>
                <c:pt idx="5">
                  <c:v>2018</c:v>
                </c:pt>
                <c:pt idx="6">
                  <c:v>2019</c:v>
                </c:pt>
                <c:pt idx="7">
                  <c:v>2020</c:v>
                </c:pt>
              </c:numCache>
            </c:numRef>
          </c:cat>
          <c:val>
            <c:numRef>
              <c:f>Feuil1!$C$4:$J$4</c:f>
              <c:numCache>
                <c:formatCode>General</c:formatCode>
                <c:ptCount val="8"/>
                <c:pt idx="0">
                  <c:v>13.648999999999999</c:v>
                </c:pt>
                <c:pt idx="1">
                  <c:v>14.993</c:v>
                </c:pt>
                <c:pt idx="2">
                  <c:v>14.763</c:v>
                </c:pt>
                <c:pt idx="3">
                  <c:v>16.253</c:v>
                </c:pt>
                <c:pt idx="4">
                  <c:v>17.937000000000001</c:v>
                </c:pt>
                <c:pt idx="5">
                  <c:v>18.623000000000001</c:v>
                </c:pt>
                <c:pt idx="6">
                  <c:v>18.696000000000005</c:v>
                </c:pt>
                <c:pt idx="7">
                  <c:v>18.763000000000002</c:v>
                </c:pt>
              </c:numCache>
            </c:numRef>
          </c:val>
        </c:ser>
        <c:axId val="36668160"/>
        <c:axId val="36669696"/>
      </c:barChart>
      <c:catAx>
        <c:axId val="36668160"/>
        <c:scaling>
          <c:orientation val="minMax"/>
        </c:scaling>
        <c:axPos val="b"/>
        <c:numFmt formatCode="General" sourceLinked="1"/>
        <c:tickLblPos val="nextTo"/>
        <c:crossAx val="36669696"/>
        <c:crosses val="autoZero"/>
        <c:auto val="1"/>
        <c:lblAlgn val="ctr"/>
        <c:lblOffset val="100"/>
      </c:catAx>
      <c:valAx>
        <c:axId val="36669696"/>
        <c:scaling>
          <c:orientation val="minMax"/>
        </c:scaling>
        <c:axPos val="l"/>
        <c:numFmt formatCode="General" sourceLinked="1"/>
        <c:tickLblPos val="nextTo"/>
        <c:crossAx val="36668160"/>
        <c:crosses val="autoZero"/>
        <c:crossBetween val="between"/>
      </c:valAx>
      <c:spPr>
        <a:noFill/>
        <a:ln w="25400">
          <a:noFill/>
        </a:ln>
      </c:spPr>
    </c:plotArea>
    <c:legend>
      <c:legendPos val="b"/>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tx>
        <c:strRef>
          <c:f>Control!$A$8</c:f>
          <c:strCache>
            <c:ptCount val="1"/>
            <c:pt idx="0">
              <c:v>Econ + Ed</c:v>
            </c:pt>
          </c:strCache>
        </c:strRef>
      </c:tx>
      <c:layout/>
      <c:txPr>
        <a:bodyPr/>
        <a:lstStyle/>
        <a:p>
          <a:pPr>
            <a:defRPr sz="800"/>
          </a:pPr>
          <a:endParaRPr lang="fr-FR"/>
        </a:p>
      </c:txPr>
    </c:title>
    <c:plotArea>
      <c:layout>
        <c:manualLayout>
          <c:layoutTarget val="inner"/>
          <c:xMode val="edge"/>
          <c:yMode val="edge"/>
          <c:x val="0.16478583005274491"/>
          <c:y val="0.19476851851851837"/>
          <c:w val="0.74600001624471535"/>
          <c:h val="0.53243474773986033"/>
        </c:manualLayout>
      </c:layout>
      <c:lineChart>
        <c:grouping val="standard"/>
        <c:ser>
          <c:idx val="0"/>
          <c:order val="0"/>
          <c:tx>
            <c:strRef>
              <c:f>'Base Scenario'!$Y$1</c:f>
              <c:strCache>
                <c:ptCount val="1"/>
                <c:pt idx="0">
                  <c:v>Employment</c:v>
                </c:pt>
              </c:strCache>
            </c:strRef>
          </c:tx>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'PolicyScenario-2'!$Y$2:$Y$42</c:f>
              <c:numCache>
                <c:formatCode>_(* #,##0_);_(* \(#,##0\);_(* "-"??_);_(@_)</c:formatCode>
                <c:ptCount val="41"/>
                <c:pt idx="0">
                  <c:v>8334809.5703125</c:v>
                </c:pt>
                <c:pt idx="1">
                  <c:v>8601423.9660748187</c:v>
                </c:pt>
                <c:pt idx="2">
                  <c:v>8927405.0954707749</c:v>
                </c:pt>
                <c:pt idx="3">
                  <c:v>9290107.4714697637</c:v>
                </c:pt>
                <c:pt idx="4">
                  <c:v>9686571.4121309575</c:v>
                </c:pt>
                <c:pt idx="5">
                  <c:v>10120234.757889394</c:v>
                </c:pt>
                <c:pt idx="6">
                  <c:v>10596332.306747762</c:v>
                </c:pt>
                <c:pt idx="7">
                  <c:v>11120162.339251742</c:v>
                </c:pt>
                <c:pt idx="8">
                  <c:v>11696816.095050288</c:v>
                </c:pt>
                <c:pt idx="9">
                  <c:v>12324119.352802278</c:v>
                </c:pt>
                <c:pt idx="10">
                  <c:v>13012521.941107975</c:v>
                </c:pt>
                <c:pt idx="11">
                  <c:v>13816184.867935393</c:v>
                </c:pt>
                <c:pt idx="12">
                  <c:v>14684825.405452808</c:v>
                </c:pt>
                <c:pt idx="13">
                  <c:v>15609557.192217831</c:v>
                </c:pt>
                <c:pt idx="14">
                  <c:v>16589755.795609854</c:v>
                </c:pt>
                <c:pt idx="15">
                  <c:v>17133396.19140625</c:v>
                </c:pt>
                <c:pt idx="16">
                  <c:v>17628673.453125</c:v>
                </c:pt>
                <c:pt idx="17">
                  <c:v>18139501.951171812</c:v>
                </c:pt>
                <c:pt idx="18">
                  <c:v>18665278.611328125</c:v>
                </c:pt>
                <c:pt idx="19">
                  <c:v>19205507.511718746</c:v>
                </c:pt>
                <c:pt idx="20">
                  <c:v>19759713.837890618</c:v>
                </c:pt>
                <c:pt idx="21">
                  <c:v>20327258.183593746</c:v>
                </c:pt>
                <c:pt idx="22">
                  <c:v>20906959.527343746</c:v>
                </c:pt>
                <c:pt idx="23">
                  <c:v>21496785.960937396</c:v>
                </c:pt>
                <c:pt idx="24">
                  <c:v>22095876.265624996</c:v>
                </c:pt>
                <c:pt idx="25">
                  <c:v>22706304.996093746</c:v>
                </c:pt>
                <c:pt idx="26">
                  <c:v>23328422.83203125</c:v>
                </c:pt>
                <c:pt idx="27">
                  <c:v>23962315.69140625</c:v>
                </c:pt>
                <c:pt idx="28">
                  <c:v>24607379.72265625</c:v>
                </c:pt>
                <c:pt idx="29">
                  <c:v>25263181.78515625</c:v>
                </c:pt>
                <c:pt idx="30">
                  <c:v>25929264.945312396</c:v>
                </c:pt>
                <c:pt idx="31">
                  <c:v>26606892.878906421</c:v>
                </c:pt>
                <c:pt idx="32">
                  <c:v>27297420.47265625</c:v>
                </c:pt>
                <c:pt idx="33">
                  <c:v>28001013.5625</c:v>
                </c:pt>
                <c:pt idx="34">
                  <c:v>28717785.50390625</c:v>
                </c:pt>
                <c:pt idx="35">
                  <c:v>29447345.5546875</c:v>
                </c:pt>
                <c:pt idx="36">
                  <c:v>30190616.964843456</c:v>
                </c:pt>
                <c:pt idx="37">
                  <c:v>30948768.546874996</c:v>
                </c:pt>
                <c:pt idx="38">
                  <c:v>31722475.789062396</c:v>
                </c:pt>
                <c:pt idx="39">
                  <c:v>32512245.667968746</c:v>
                </c:pt>
                <c:pt idx="40">
                  <c:v>33425182.7265625</c:v>
                </c:pt>
              </c:numCache>
            </c:numRef>
          </c:val>
        </c:ser>
        <c:ser>
          <c:idx val="1"/>
          <c:order val="1"/>
          <c:tx>
            <c:strRef>
              <c:f>Population!$G$2</c:f>
              <c:strCache>
                <c:ptCount val="1"/>
                <c:pt idx="0">
                  <c:v>Population 15+</c:v>
                </c:pt>
              </c:strCache>
            </c:strRef>
          </c:tx>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Population!$H$4:$H$44</c:f>
              <c:numCache>
                <c:formatCode>#,##0</c:formatCode>
                <c:ptCount val="41"/>
                <c:pt idx="0">
                  <c:v>10940730.87890625</c:v>
                </c:pt>
                <c:pt idx="1">
                  <c:v>11283203.919921875</c:v>
                </c:pt>
                <c:pt idx="2">
                  <c:v>11631263.853515632</c:v>
                </c:pt>
                <c:pt idx="3">
                  <c:v>11986612.384765632</c:v>
                </c:pt>
                <c:pt idx="4">
                  <c:v>12352097.029296773</c:v>
                </c:pt>
                <c:pt idx="5">
                  <c:v>12729730.08203125</c:v>
                </c:pt>
                <c:pt idx="6">
                  <c:v>13120667.814453214</c:v>
                </c:pt>
                <c:pt idx="7">
                  <c:v>13524948.33203125</c:v>
                </c:pt>
                <c:pt idx="8">
                  <c:v>13941948.16015625</c:v>
                </c:pt>
                <c:pt idx="9">
                  <c:v>14363657.142578125</c:v>
                </c:pt>
                <c:pt idx="10">
                  <c:v>14796615.43359375</c:v>
                </c:pt>
                <c:pt idx="11">
                  <c:v>15281594.396484375</c:v>
                </c:pt>
                <c:pt idx="12">
                  <c:v>15757501.978515625</c:v>
                </c:pt>
                <c:pt idx="13">
                  <c:v>16224486.546874903</c:v>
                </c:pt>
                <c:pt idx="14">
                  <c:v>16682837.728515487</c:v>
                </c:pt>
                <c:pt idx="15">
                  <c:v>17133396.19140625</c:v>
                </c:pt>
                <c:pt idx="16">
                  <c:v>17628673.453125</c:v>
                </c:pt>
                <c:pt idx="17">
                  <c:v>18139501.951171812</c:v>
                </c:pt>
                <c:pt idx="18">
                  <c:v>18665278.611328125</c:v>
                </c:pt>
                <c:pt idx="19">
                  <c:v>19205507.511718746</c:v>
                </c:pt>
                <c:pt idx="20">
                  <c:v>19759713.837890618</c:v>
                </c:pt>
                <c:pt idx="21">
                  <c:v>20327258.183593746</c:v>
                </c:pt>
                <c:pt idx="22">
                  <c:v>20906959.527343746</c:v>
                </c:pt>
                <c:pt idx="23">
                  <c:v>21496785.960937396</c:v>
                </c:pt>
                <c:pt idx="24">
                  <c:v>22095876.265624996</c:v>
                </c:pt>
                <c:pt idx="25">
                  <c:v>22706304.996093746</c:v>
                </c:pt>
                <c:pt idx="26">
                  <c:v>23328422.83203125</c:v>
                </c:pt>
                <c:pt idx="27">
                  <c:v>23962315.69140625</c:v>
                </c:pt>
                <c:pt idx="28">
                  <c:v>24607379.72265625</c:v>
                </c:pt>
                <c:pt idx="29">
                  <c:v>25263181.78515625</c:v>
                </c:pt>
                <c:pt idx="30">
                  <c:v>25929264.945312396</c:v>
                </c:pt>
                <c:pt idx="31">
                  <c:v>26606892.878906421</c:v>
                </c:pt>
                <c:pt idx="32">
                  <c:v>27297420.47265625</c:v>
                </c:pt>
                <c:pt idx="33">
                  <c:v>28001013.5625</c:v>
                </c:pt>
                <c:pt idx="34">
                  <c:v>28717785.50390625</c:v>
                </c:pt>
                <c:pt idx="35">
                  <c:v>29447345.5546875</c:v>
                </c:pt>
                <c:pt idx="36">
                  <c:v>30190616.964843456</c:v>
                </c:pt>
                <c:pt idx="37">
                  <c:v>30948768.546874996</c:v>
                </c:pt>
                <c:pt idx="38">
                  <c:v>31722475.789062396</c:v>
                </c:pt>
                <c:pt idx="39">
                  <c:v>32512245.667968746</c:v>
                </c:pt>
                <c:pt idx="40">
                  <c:v>33425182.7265625</c:v>
                </c:pt>
              </c:numCache>
            </c:numRef>
          </c:val>
        </c:ser>
        <c:marker val="1"/>
        <c:axId val="164061952"/>
        <c:axId val="164063488"/>
      </c:lineChart>
      <c:catAx>
        <c:axId val="164061952"/>
        <c:scaling>
          <c:orientation val="minMax"/>
        </c:scaling>
        <c:axPos val="b"/>
        <c:numFmt formatCode="General" sourceLinked="1"/>
        <c:tickLblPos val="nextTo"/>
        <c:txPr>
          <a:bodyPr/>
          <a:lstStyle/>
          <a:p>
            <a:pPr>
              <a:defRPr sz="800"/>
            </a:pPr>
            <a:endParaRPr lang="fr-FR"/>
          </a:p>
        </c:txPr>
        <c:crossAx val="164063488"/>
        <c:crosses val="autoZero"/>
        <c:auto val="1"/>
        <c:lblAlgn val="ctr"/>
        <c:lblOffset val="100"/>
      </c:catAx>
      <c:valAx>
        <c:axId val="164063488"/>
        <c:scaling>
          <c:orientation val="minMax"/>
          <c:max val="120000000"/>
        </c:scaling>
        <c:axPos val="l"/>
        <c:majorGridlines/>
        <c:numFmt formatCode="_(* #,##0_);_(* \(#,##0\);_(* &quot;-&quot;??_);_(@_)" sourceLinked="1"/>
        <c:tickLblPos val="nextTo"/>
        <c:txPr>
          <a:bodyPr/>
          <a:lstStyle/>
          <a:p>
            <a:pPr>
              <a:defRPr sz="800"/>
            </a:pPr>
            <a:endParaRPr lang="fr-FR"/>
          </a:p>
        </c:txPr>
        <c:crossAx val="164061952"/>
        <c:crosses val="autoZero"/>
        <c:crossBetween val="between"/>
        <c:dispUnits>
          <c:builtInUnit val="millions"/>
          <c:dispUnitsLbl>
            <c:layout/>
          </c:dispUnitsLbl>
        </c:dispUnits>
      </c:valAx>
    </c:plotArea>
    <c:legend>
      <c:legendPos val="b"/>
      <c:layout/>
      <c:txPr>
        <a:bodyPr/>
        <a:lstStyle/>
        <a:p>
          <a:pPr>
            <a:defRPr sz="800"/>
          </a:pPr>
          <a:endParaRPr lang="fr-FR"/>
        </a:p>
      </c:txPr>
    </c:legend>
    <c:plotVisOnly val="1"/>
    <c:dispBlanksAs val="gap"/>
  </c:chart>
  <c:spPr>
    <a:ln>
      <a:noFill/>
    </a:ln>
  </c:spPr>
  <c:txPr>
    <a:bodyPr/>
    <a:lstStyle/>
    <a:p>
      <a:pPr>
        <a:defRPr>
          <a:latin typeface="Century Gothic" panose="020B0502020202020204" pitchFamily="34" charset="0"/>
        </a:defRPr>
      </a:pPr>
      <a:endParaRPr lang="fr-F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3374116542370823"/>
          <c:y val="9.0914786688437457E-2"/>
          <c:w val="0.81051457544233219"/>
          <c:h val="0.77214196087628362"/>
        </c:manualLayout>
      </c:layout>
      <c:lineChart>
        <c:grouping val="standard"/>
        <c:ser>
          <c:idx val="0"/>
          <c:order val="0"/>
          <c:tx>
            <c:strRef>
              <c:f>Control!$A$6</c:f>
              <c:strCache>
                <c:ptCount val="1"/>
                <c:pt idx="0">
                  <c:v>Base</c:v>
                </c:pt>
              </c:strCache>
            </c:strRef>
          </c:tx>
          <c:spPr>
            <a:ln>
              <a:solidFill>
                <a:srgbClr val="0F6982"/>
              </a:solidFill>
            </a:ln>
          </c:spPr>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'Base Scenario'!$AL$2:$AL$42</c:f>
              <c:numCache>
                <c:formatCode>#,##0</c:formatCode>
                <c:ptCount val="41"/>
                <c:pt idx="0">
                  <c:v>2605921.3085937477</c:v>
                </c:pt>
                <c:pt idx="1">
                  <c:v>2681570.7021484347</c:v>
                </c:pt>
                <c:pt idx="2">
                  <c:v>2790671.9212303692</c:v>
                </c:pt>
                <c:pt idx="3">
                  <c:v>2916284.6978121586</c:v>
                </c:pt>
                <c:pt idx="4">
                  <c:v>3051968.8358308277</c:v>
                </c:pt>
                <c:pt idx="5">
                  <c:v>3194660.5013741362</c:v>
                </c:pt>
                <c:pt idx="6">
                  <c:v>3342659.6999956444</c:v>
                </c:pt>
                <c:pt idx="7">
                  <c:v>3494630.9257189371</c:v>
                </c:pt>
                <c:pt idx="8">
                  <c:v>3649548.0651387777</c:v>
                </c:pt>
                <c:pt idx="9">
                  <c:v>3806872.5671748682</c:v>
                </c:pt>
                <c:pt idx="10">
                  <c:v>3966586.2755622417</c:v>
                </c:pt>
                <c:pt idx="11">
                  <c:v>4151883.1213685712</c:v>
                </c:pt>
                <c:pt idx="12">
                  <c:v>4320100.9439733829</c:v>
                </c:pt>
                <c:pt idx="13">
                  <c:v>4479462.7536480194</c:v>
                </c:pt>
                <c:pt idx="14">
                  <c:v>4633860.8193994593</c:v>
                </c:pt>
                <c:pt idx="15">
                  <c:v>4785425.1368117947</c:v>
                </c:pt>
                <c:pt idx="16">
                  <c:v>4964906.2253858894</c:v>
                </c:pt>
                <c:pt idx="17">
                  <c:v>5146631.4269119482</c:v>
                </c:pt>
                <c:pt idx="18">
                  <c:v>5331338.4660842326</c:v>
                </c:pt>
                <c:pt idx="19">
                  <c:v>5519261.7614689544</c:v>
                </c:pt>
                <c:pt idx="20">
                  <c:v>5710404.7675160598</c:v>
                </c:pt>
                <c:pt idx="21">
                  <c:v>5904657.9004810266</c:v>
                </c:pt>
                <c:pt idx="22">
                  <c:v>6101863.0068070535</c:v>
                </c:pt>
                <c:pt idx="23">
                  <c:v>6301845.4608592466</c:v>
                </c:pt>
                <c:pt idx="24">
                  <c:v>6504517.8303312454</c:v>
                </c:pt>
                <c:pt idx="25">
                  <c:v>6709871.3249331191</c:v>
                </c:pt>
                <c:pt idx="26">
                  <c:v>6918320.7010265645</c:v>
                </c:pt>
                <c:pt idx="27">
                  <c:v>7129986.1592752188</c:v>
                </c:pt>
                <c:pt idx="28">
                  <c:v>7344479.6321065193</c:v>
                </c:pt>
                <c:pt idx="29">
                  <c:v>7561608.37680934</c:v>
                </c:pt>
                <c:pt idx="30">
                  <c:v>7781346.3375240564</c:v>
                </c:pt>
                <c:pt idx="31">
                  <c:v>8004669.0066383593</c:v>
                </c:pt>
                <c:pt idx="32">
                  <c:v>8232320.3158419598</c:v>
                </c:pt>
                <c:pt idx="33">
                  <c:v>8464143.3570581488</c:v>
                </c:pt>
                <c:pt idx="34">
                  <c:v>8700172.2917160951</c:v>
                </c:pt>
                <c:pt idx="35">
                  <c:v>8940337.130410485</c:v>
                </c:pt>
                <c:pt idx="36">
                  <c:v>9185412.9652512968</c:v>
                </c:pt>
                <c:pt idx="37">
                  <c:v>9436116.520928653</c:v>
                </c:pt>
                <c:pt idx="38">
                  <c:v>9692462.1937889829</c:v>
                </c:pt>
                <c:pt idx="39">
                  <c:v>9954609.8134226874</c:v>
                </c:pt>
                <c:pt idx="40">
                  <c:v>10250949.658254799</c:v>
                </c:pt>
              </c:numCache>
            </c:numRef>
          </c:val>
        </c:ser>
        <c:ser>
          <c:idx val="1"/>
          <c:order val="1"/>
          <c:tx>
            <c:strRef>
              <c:f>Control!$A$7</c:f>
              <c:strCache>
                <c:ptCount val="1"/>
                <c:pt idx="0">
                  <c:v>Econ</c:v>
                </c:pt>
              </c:strCache>
            </c:strRef>
          </c:tx>
          <c:spPr>
            <a:ln>
              <a:solidFill>
                <a:srgbClr val="989232"/>
              </a:solidFill>
            </a:ln>
          </c:spPr>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'PolicyScenario-1'!$AL$2:$AL$42</c:f>
              <c:numCache>
                <c:formatCode>_(* #,##0_);_(* \(#,##0\);_(* "-"??_);_(@_)</c:formatCode>
                <c:ptCount val="41"/>
                <c:pt idx="0">
                  <c:v>2605921.3085937477</c:v>
                </c:pt>
                <c:pt idx="1">
                  <c:v>2681670.2126360307</c:v>
                </c:pt>
                <c:pt idx="2">
                  <c:v>2728908.8147406057</c:v>
                </c:pt>
                <c:pt idx="3">
                  <c:v>2754128.8907308895</c:v>
                </c:pt>
                <c:pt idx="4">
                  <c:v>2758050.0647946922</c:v>
                </c:pt>
                <c:pt idx="5">
                  <c:v>2738126.7541487087</c:v>
                </c:pt>
                <c:pt idx="6">
                  <c:v>2690285.1983479057</c:v>
                </c:pt>
                <c:pt idx="7">
                  <c:v>2609562.5137993298</c:v>
                </c:pt>
                <c:pt idx="8">
                  <c:v>2490637.3260697257</c:v>
                </c:pt>
                <c:pt idx="9">
                  <c:v>2328061.6904548458</c:v>
                </c:pt>
                <c:pt idx="10">
                  <c:v>2116174.1646389514</c:v>
                </c:pt>
                <c:pt idx="11">
                  <c:v>1846056.6857980918</c:v>
                </c:pt>
                <c:pt idx="12">
                  <c:v>1503403.9450999869</c:v>
                </c:pt>
                <c:pt idx="13">
                  <c:v>1097070.2939364281</c:v>
                </c:pt>
                <c:pt idx="14">
                  <c:v>628044.01778675651</c:v>
                </c:pt>
                <c:pt idx="15">
                  <c:v>96056.933088712278</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2"/>
          <c:order val="2"/>
          <c:tx>
            <c:strRef>
              <c:f>Control!$A$8</c:f>
              <c:strCache>
                <c:ptCount val="1"/>
                <c:pt idx="0">
                  <c:v>Econ + Ed</c:v>
                </c:pt>
              </c:strCache>
            </c:strRef>
          </c:tx>
          <c:spPr>
            <a:ln>
              <a:solidFill>
                <a:srgbClr val="C48726"/>
              </a:solidFill>
            </a:ln>
          </c:spPr>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'PolicyScenario-2'!$AL$2:$AL$42</c:f>
              <c:numCache>
                <c:formatCode>#,##0</c:formatCode>
                <c:ptCount val="41"/>
                <c:pt idx="0">
                  <c:v>2605921.3085937477</c:v>
                </c:pt>
                <c:pt idx="1">
                  <c:v>2681779.9538469687</c:v>
                </c:pt>
                <c:pt idx="2">
                  <c:v>2703858.7580448487</c:v>
                </c:pt>
                <c:pt idx="3">
                  <c:v>2696504.9132958613</c:v>
                </c:pt>
                <c:pt idx="4">
                  <c:v>2665525.6171659157</c:v>
                </c:pt>
                <c:pt idx="5">
                  <c:v>2609495.3241418302</c:v>
                </c:pt>
                <c:pt idx="6">
                  <c:v>2524335.50770537</c:v>
                </c:pt>
                <c:pt idx="7">
                  <c:v>2404785.9927795078</c:v>
                </c:pt>
                <c:pt idx="8">
                  <c:v>2245132.0651059607</c:v>
                </c:pt>
                <c:pt idx="9">
                  <c:v>2039537.7897759471</c:v>
                </c:pt>
                <c:pt idx="10">
                  <c:v>1784093.4924857747</c:v>
                </c:pt>
                <c:pt idx="11">
                  <c:v>1465409.5285489841</c:v>
                </c:pt>
                <c:pt idx="12">
                  <c:v>1072676.5730628578</c:v>
                </c:pt>
                <c:pt idx="13">
                  <c:v>614929.35465715243</c:v>
                </c:pt>
                <c:pt idx="14">
                  <c:v>93081.932905769718</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ser>
          <c:idx val="3"/>
          <c:order val="3"/>
          <c:tx>
            <c:strRef>
              <c:f>Control!$A$9</c:f>
              <c:strCache>
                <c:ptCount val="1"/>
                <c:pt idx="0">
                  <c:v>Econ + Ed + Santé</c:v>
                </c:pt>
              </c:strCache>
            </c:strRef>
          </c:tx>
          <c:spPr>
            <a:ln>
              <a:solidFill>
                <a:srgbClr val="993129"/>
              </a:solidFill>
            </a:ln>
          </c:spPr>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'PolicyScenario-3'!$AL$2:$AL$42</c:f>
              <c:numCache>
                <c:formatCode>_(* #,##0_);_(* \(#,##0\);_(* "-"??_);_(@_)</c:formatCode>
                <c:ptCount val="41"/>
                <c:pt idx="0">
                  <c:v>2605921.3085937477</c:v>
                </c:pt>
                <c:pt idx="1">
                  <c:v>2681942.4811907187</c:v>
                </c:pt>
                <c:pt idx="2">
                  <c:v>2702557.0765484255</c:v>
                </c:pt>
                <c:pt idx="3">
                  <c:v>2693326.7928603459</c:v>
                </c:pt>
                <c:pt idx="4">
                  <c:v>2659661.2760063778</c:v>
                </c:pt>
                <c:pt idx="5">
                  <c:v>2601410.2794811307</c:v>
                </c:pt>
                <c:pt idx="6">
                  <c:v>2514250.2036267165</c:v>
                </c:pt>
                <c:pt idx="7">
                  <c:v>2392884.8432591073</c:v>
                </c:pt>
                <c:pt idx="8">
                  <c:v>2231622.2333843708</c:v>
                </c:pt>
                <c:pt idx="9">
                  <c:v>2024584.4874431212</c:v>
                </c:pt>
                <c:pt idx="10">
                  <c:v>1765595.1180125419</c:v>
                </c:pt>
                <c:pt idx="11">
                  <c:v>1441980.5789869912</c:v>
                </c:pt>
                <c:pt idx="12">
                  <c:v>1042975.5509765446</c:v>
                </c:pt>
                <c:pt idx="13">
                  <c:v>577418.77746402286</c:v>
                </c:pt>
                <c:pt idx="14">
                  <c:v>45931.883146705106</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numCache>
            </c:numRef>
          </c:val>
        </c:ser>
        <c:marker val="1"/>
        <c:axId val="164568064"/>
        <c:axId val="164578048"/>
      </c:lineChart>
      <c:catAx>
        <c:axId val="164568064"/>
        <c:scaling>
          <c:orientation val="minMax"/>
        </c:scaling>
        <c:axPos val="b"/>
        <c:numFmt formatCode="General" sourceLinked="1"/>
        <c:tickLblPos val="nextTo"/>
        <c:crossAx val="164578048"/>
        <c:crosses val="autoZero"/>
        <c:auto val="1"/>
        <c:lblAlgn val="ctr"/>
        <c:lblOffset val="100"/>
        <c:tickLblSkip val="5"/>
      </c:catAx>
      <c:valAx>
        <c:axId val="164578048"/>
        <c:scaling>
          <c:orientation val="minMax"/>
        </c:scaling>
        <c:axPos val="l"/>
        <c:majorGridlines/>
        <c:numFmt formatCode="#,##0" sourceLinked="1"/>
        <c:tickLblPos val="nextTo"/>
        <c:crossAx val="164568064"/>
        <c:crosses val="autoZero"/>
        <c:crossBetween val="between"/>
      </c:valAx>
    </c:plotArea>
    <c:legend>
      <c:legendPos val="b"/>
      <c:layout/>
    </c:legend>
    <c:plotVisOnly val="1"/>
    <c:dispBlanksAs val="gap"/>
  </c:chart>
  <c:spPr>
    <a:noFill/>
    <a:ln>
      <a:noFill/>
    </a:ln>
  </c:spPr>
  <c:txPr>
    <a:bodyPr/>
    <a:lstStyle/>
    <a:p>
      <a:pPr>
        <a:defRPr sz="800" baseline="0">
          <a:latin typeface="Century Gothic" panose="020B0502020202020204" pitchFamily="34" charset="0"/>
          <a:cs typeface="Arial" panose="020B0604020202020204" pitchFamily="34" charset="0"/>
        </a:defRPr>
      </a:pPr>
      <a:endParaRPr lang="fr-F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9.1994000749906268E-2"/>
          <c:y val="0.10309217417625681"/>
          <c:w val="0.84819474488765756"/>
          <c:h val="0.75735748509433287"/>
        </c:manualLayout>
      </c:layout>
      <c:lineChart>
        <c:grouping val="standard"/>
        <c:ser>
          <c:idx val="0"/>
          <c:order val="0"/>
          <c:tx>
            <c:strRef>
              <c:f>Control!$A$6</c:f>
              <c:strCache>
                <c:ptCount val="1"/>
                <c:pt idx="0">
                  <c:v>Base</c:v>
                </c:pt>
              </c:strCache>
            </c:strRef>
          </c:tx>
          <c:spPr>
            <a:ln w="53975">
              <a:solidFill>
                <a:srgbClr val="0F6982"/>
              </a:solidFill>
            </a:ln>
          </c:spPr>
          <c:marker>
            <c:symbol val="none"/>
          </c:marker>
          <c:dLbls>
            <c:dLbl>
              <c:idx val="40"/>
              <c:layout/>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'PolicyScenario-1'!$A$2:$A$42</c:f>
              <c:numCache>
                <c:formatCode>0</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'Base Scenario'!$AT$2:$AT$42</c:f>
              <c:numCache>
                <c:formatCode>0.000</c:formatCode>
                <c:ptCount val="41"/>
                <c:pt idx="0">
                  <c:v>0.50336191002807862</c:v>
                </c:pt>
                <c:pt idx="1">
                  <c:v>0.50298457041723665</c:v>
                </c:pt>
                <c:pt idx="2">
                  <c:v>0.50242862959377588</c:v>
                </c:pt>
                <c:pt idx="3">
                  <c:v>0.50179907902267362</c:v>
                </c:pt>
                <c:pt idx="4">
                  <c:v>0.50114599712182362</c:v>
                </c:pt>
                <c:pt idx="5">
                  <c:v>0.5004973779138675</c:v>
                </c:pt>
                <c:pt idx="6">
                  <c:v>0.49986761301336952</c:v>
                </c:pt>
                <c:pt idx="7">
                  <c:v>0.49926407435969355</c:v>
                </c:pt>
                <c:pt idx="8">
                  <c:v>0.49868933907711538</c:v>
                </c:pt>
                <c:pt idx="9">
                  <c:v>0.49814322033112174</c:v>
                </c:pt>
                <c:pt idx="10">
                  <c:v>0.49762497983295351</c:v>
                </c:pt>
                <c:pt idx="11">
                  <c:v>0.49720255560641896</c:v>
                </c:pt>
                <c:pt idx="12">
                  <c:v>0.49680200685166587</c:v>
                </c:pt>
                <c:pt idx="13">
                  <c:v>0.49639139553578482</c:v>
                </c:pt>
                <c:pt idx="14">
                  <c:v>0.49595776291808435</c:v>
                </c:pt>
                <c:pt idx="15">
                  <c:v>0.49549711018372672</c:v>
                </c:pt>
                <c:pt idx="16">
                  <c:v>0.49509071901175716</c:v>
                </c:pt>
                <c:pt idx="17">
                  <c:v>0.49472442842490227</c:v>
                </c:pt>
                <c:pt idx="18">
                  <c:v>0.49439303785941507</c:v>
                </c:pt>
                <c:pt idx="19">
                  <c:v>0.49409347155702132</c:v>
                </c:pt>
                <c:pt idx="20">
                  <c:v>0.49382354971917436</c:v>
                </c:pt>
                <c:pt idx="21">
                  <c:v>0.49357864388335315</c:v>
                </c:pt>
                <c:pt idx="22">
                  <c:v>0.493353718390663</c:v>
                </c:pt>
                <c:pt idx="23">
                  <c:v>0.49314604849262816</c:v>
                </c:pt>
                <c:pt idx="24">
                  <c:v>0.49295328027920604</c:v>
                </c:pt>
                <c:pt idx="25">
                  <c:v>0.49277356982013082</c:v>
                </c:pt>
                <c:pt idx="26">
                  <c:v>0.49260632652394881</c:v>
                </c:pt>
                <c:pt idx="27">
                  <c:v>0.49245019279729152</c:v>
                </c:pt>
                <c:pt idx="28">
                  <c:v>0.49230195291066503</c:v>
                </c:pt>
                <c:pt idx="29">
                  <c:v>0.4921580807767264</c:v>
                </c:pt>
                <c:pt idx="30">
                  <c:v>0.49201521593345676</c:v>
                </c:pt>
                <c:pt idx="31">
                  <c:v>0.49187427334946499</c:v>
                </c:pt>
                <c:pt idx="32">
                  <c:v>0.49173715962383729</c:v>
                </c:pt>
                <c:pt idx="33">
                  <c:v>0.49160294718892888</c:v>
                </c:pt>
                <c:pt idx="34">
                  <c:v>0.49147060184323865</c:v>
                </c:pt>
                <c:pt idx="35">
                  <c:v>0.49133875131061305</c:v>
                </c:pt>
                <c:pt idx="36">
                  <c:v>0.49120889209582286</c:v>
                </c:pt>
                <c:pt idx="37">
                  <c:v>0.49108333013289707</c:v>
                </c:pt>
                <c:pt idx="38">
                  <c:v>0.49096195787348351</c:v>
                </c:pt>
                <c:pt idx="39">
                  <c:v>0.49084454044473208</c:v>
                </c:pt>
                <c:pt idx="40">
                  <c:v>0.49063842975359601</c:v>
                </c:pt>
              </c:numCache>
            </c:numRef>
          </c:val>
        </c:ser>
        <c:ser>
          <c:idx val="3"/>
          <c:order val="1"/>
          <c:tx>
            <c:strRef>
              <c:f>Control!$A$9</c:f>
              <c:strCache>
                <c:ptCount val="1"/>
                <c:pt idx="0">
                  <c:v>Econ + Ed + Santé</c:v>
                </c:pt>
              </c:strCache>
            </c:strRef>
          </c:tx>
          <c:spPr>
            <a:ln w="53975">
              <a:solidFill>
                <a:srgbClr val="993129"/>
              </a:solidFill>
            </a:ln>
          </c:spPr>
          <c:marker>
            <c:symbol val="none"/>
          </c:marker>
          <c:dLbls>
            <c:dLbl>
              <c:idx val="40"/>
              <c:layout/>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val>
            <c:numRef>
              <c:f>'PolicyScenario-3'!$AT$2:$AT$42</c:f>
              <c:numCache>
                <c:formatCode>0.00</c:formatCode>
                <c:ptCount val="41"/>
                <c:pt idx="0">
                  <c:v>0.50336191002807862</c:v>
                </c:pt>
                <c:pt idx="1">
                  <c:v>0.50766660658616714</c:v>
                </c:pt>
                <c:pt idx="2">
                  <c:v>0.51237812760334067</c:v>
                </c:pt>
                <c:pt idx="3">
                  <c:v>0.51738995883086047</c:v>
                </c:pt>
                <c:pt idx="4">
                  <c:v>0.52271720127487475</c:v>
                </c:pt>
                <c:pt idx="5">
                  <c:v>0.52838163732769261</c:v>
                </c:pt>
                <c:pt idx="6">
                  <c:v>0.53442326630788062</c:v>
                </c:pt>
                <c:pt idx="7">
                  <c:v>0.5408763742079945</c:v>
                </c:pt>
                <c:pt idx="8">
                  <c:v>0.54776687799524659</c:v>
                </c:pt>
                <c:pt idx="9">
                  <c:v>0.55511191269245064</c:v>
                </c:pt>
                <c:pt idx="10">
                  <c:v>0.56291989501333761</c:v>
                </c:pt>
                <c:pt idx="11">
                  <c:v>0.57132732052963886</c:v>
                </c:pt>
                <c:pt idx="12">
                  <c:v>0.58013474999299797</c:v>
                </c:pt>
                <c:pt idx="13">
                  <c:v>0.58927520722477644</c:v>
                </c:pt>
                <c:pt idx="14">
                  <c:v>0.59869802591174359</c:v>
                </c:pt>
                <c:pt idx="15">
                  <c:v>0.6070961726686096</c:v>
                </c:pt>
                <c:pt idx="16">
                  <c:v>0.61562594482784461</c:v>
                </c:pt>
                <c:pt idx="17">
                  <c:v>0.62426349661161262</c:v>
                </c:pt>
                <c:pt idx="18">
                  <c:v>0.63293822939908395</c:v>
                </c:pt>
                <c:pt idx="19">
                  <c:v>0.6415815628339876</c:v>
                </c:pt>
                <c:pt idx="20">
                  <c:v>0.65013054412402815</c:v>
                </c:pt>
                <c:pt idx="21">
                  <c:v>0.65852589251975158</c:v>
                </c:pt>
                <c:pt idx="22">
                  <c:v>0.66671740572142169</c:v>
                </c:pt>
                <c:pt idx="23">
                  <c:v>0.67466724253712751</c:v>
                </c:pt>
                <c:pt idx="24">
                  <c:v>0.68234868117240177</c:v>
                </c:pt>
                <c:pt idx="25">
                  <c:v>0.6897456732347379</c:v>
                </c:pt>
                <c:pt idx="26">
                  <c:v>0.69685298778531757</c:v>
                </c:pt>
                <c:pt idx="27">
                  <c:v>0.70367262540920161</c:v>
                </c:pt>
                <c:pt idx="28">
                  <c:v>0.71021159455267868</c:v>
                </c:pt>
                <c:pt idx="29">
                  <c:v>0.71648205604279669</c:v>
                </c:pt>
                <c:pt idx="30">
                  <c:v>0.72249950961029263</c:v>
                </c:pt>
                <c:pt idx="31">
                  <c:v>0.72828466629496091</c:v>
                </c:pt>
                <c:pt idx="32">
                  <c:v>0.73385899294405865</c:v>
                </c:pt>
                <c:pt idx="33">
                  <c:v>0.73924111265330905</c:v>
                </c:pt>
                <c:pt idx="34">
                  <c:v>0.74444888768470996</c:v>
                </c:pt>
                <c:pt idx="35">
                  <c:v>0.74949884303230863</c:v>
                </c:pt>
                <c:pt idx="36">
                  <c:v>0.75440846453812505</c:v>
                </c:pt>
                <c:pt idx="37">
                  <c:v>0.75919399188352432</c:v>
                </c:pt>
                <c:pt idx="38">
                  <c:v>0.76386845842166462</c:v>
                </c:pt>
                <c:pt idx="39">
                  <c:v>0.76844330224477908</c:v>
                </c:pt>
                <c:pt idx="40">
                  <c:v>0.77402702279591162</c:v>
                </c:pt>
              </c:numCache>
            </c:numRef>
          </c:val>
        </c:ser>
        <c:ser>
          <c:idx val="2"/>
          <c:order val="2"/>
          <c:tx>
            <c:strRef>
              <c:f>Control!$A$8</c:f>
              <c:strCache>
                <c:ptCount val="1"/>
                <c:pt idx="0">
                  <c:v>Econ + Ed</c:v>
                </c:pt>
              </c:strCache>
            </c:strRef>
          </c:tx>
          <c:spPr>
            <a:ln w="53975">
              <a:solidFill>
                <a:srgbClr val="C48726"/>
              </a:solidFill>
            </a:ln>
          </c:spPr>
          <c:marker>
            <c:symbol val="none"/>
          </c:marker>
          <c:dLbls>
            <c:dLbl>
              <c:idx val="40"/>
              <c:layout/>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val>
            <c:numRef>
              <c:f>'PolicyScenario-2'!$AT$2:$AT$42</c:f>
              <c:numCache>
                <c:formatCode>0.00</c:formatCode>
                <c:ptCount val="41"/>
                <c:pt idx="0">
                  <c:v>0.50336191002807862</c:v>
                </c:pt>
                <c:pt idx="1">
                  <c:v>0.50711234354335666</c:v>
                </c:pt>
                <c:pt idx="2">
                  <c:v>0.51124935067264854</c:v>
                </c:pt>
                <c:pt idx="3">
                  <c:v>0.51567208919643759</c:v>
                </c:pt>
                <c:pt idx="4">
                  <c:v>0.52038340427759899</c:v>
                </c:pt>
                <c:pt idx="5">
                  <c:v>0.52541791636971791</c:v>
                </c:pt>
                <c:pt idx="6">
                  <c:v>0.53081325646663435</c:v>
                </c:pt>
                <c:pt idx="7">
                  <c:v>0.53660237695259161</c:v>
                </c:pt>
                <c:pt idx="8">
                  <c:v>0.54281010866532031</c:v>
                </c:pt>
                <c:pt idx="9">
                  <c:v>0.5494766270698046</c:v>
                </c:pt>
                <c:pt idx="10">
                  <c:v>0.55658035438175657</c:v>
                </c:pt>
                <c:pt idx="11">
                  <c:v>0.56425942082893699</c:v>
                </c:pt>
                <c:pt idx="12">
                  <c:v>0.57231536410437878</c:v>
                </c:pt>
                <c:pt idx="13">
                  <c:v>0.58068094765403766</c:v>
                </c:pt>
                <c:pt idx="14">
                  <c:v>0.58930500938751151</c:v>
                </c:pt>
                <c:pt idx="15">
                  <c:v>0.5970218281316787</c:v>
                </c:pt>
                <c:pt idx="16">
                  <c:v>0.60474663034374698</c:v>
                </c:pt>
                <c:pt idx="17">
                  <c:v>0.61256554366270266</c:v>
                </c:pt>
                <c:pt idx="18">
                  <c:v>0.62040992163634845</c:v>
                </c:pt>
                <c:pt idx="19">
                  <c:v>0.62821194041350104</c:v>
                </c:pt>
                <c:pt idx="20">
                  <c:v>0.63590800750324461</c:v>
                </c:pt>
                <c:pt idx="21">
                  <c:v>0.6434393047079715</c:v>
                </c:pt>
                <c:pt idx="22">
                  <c:v>0.65075515851095089</c:v>
                </c:pt>
                <c:pt idx="23">
                  <c:v>0.65781601631734365</c:v>
                </c:pt>
                <c:pt idx="24">
                  <c:v>0.66459533340273902</c:v>
                </c:pt>
                <c:pt idx="25">
                  <c:v>0.67108159640354736</c:v>
                </c:pt>
                <c:pt idx="26">
                  <c:v>0.67727005883020064</c:v>
                </c:pt>
                <c:pt idx="27">
                  <c:v>0.68316301760444065</c:v>
                </c:pt>
                <c:pt idx="28">
                  <c:v>0.68876779519080533</c:v>
                </c:pt>
                <c:pt idx="29">
                  <c:v>0.69409679627457344</c:v>
                </c:pt>
                <c:pt idx="30">
                  <c:v>0.69916529107360192</c:v>
                </c:pt>
                <c:pt idx="31">
                  <c:v>0.70399381794608062</c:v>
                </c:pt>
                <c:pt idx="32">
                  <c:v>0.70860372767982505</c:v>
                </c:pt>
                <c:pt idx="33">
                  <c:v>0.71301373445108662</c:v>
                </c:pt>
                <c:pt idx="34">
                  <c:v>0.71724187685955076</c:v>
                </c:pt>
                <c:pt idx="35">
                  <c:v>0.72130442222728464</c:v>
                </c:pt>
                <c:pt idx="36">
                  <c:v>0.72521864349426601</c:v>
                </c:pt>
                <c:pt idx="37">
                  <c:v>0.72900059320388222</c:v>
                </c:pt>
                <c:pt idx="38">
                  <c:v>0.73266318299030553</c:v>
                </c:pt>
                <c:pt idx="39">
                  <c:v>0.73621762835464555</c:v>
                </c:pt>
                <c:pt idx="40">
                  <c:v>0.74070383001391771</c:v>
                </c:pt>
              </c:numCache>
            </c:numRef>
          </c:val>
        </c:ser>
        <c:ser>
          <c:idx val="1"/>
          <c:order val="3"/>
          <c:tx>
            <c:strRef>
              <c:f>Control!$A$7</c:f>
              <c:strCache>
                <c:ptCount val="1"/>
                <c:pt idx="0">
                  <c:v>Econ</c:v>
                </c:pt>
              </c:strCache>
            </c:strRef>
          </c:tx>
          <c:spPr>
            <a:ln w="53975">
              <a:solidFill>
                <a:srgbClr val="989232"/>
              </a:solidFill>
            </a:ln>
          </c:spPr>
          <c:marker>
            <c:symbol val="none"/>
          </c:marker>
          <c:dLbls>
            <c:dLbl>
              <c:idx val="0"/>
              <c:layout>
                <c:manualLayout>
                  <c:x val="-8.8050313011930267E-3"/>
                  <c:y val="5.2639188967514475E-2"/>
                </c:manualLayout>
              </c:layout>
              <c:showVal val="1"/>
              <c:extLst>
                <c:ext xmlns:c15="http://schemas.microsoft.com/office/drawing/2012/chart" uri="{CE6537A1-D6FC-4f65-9D91-7224C49458BB}"/>
              </c:extLst>
            </c:dLbl>
            <c:dLbl>
              <c:idx val="40"/>
              <c:layout/>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'PolicyScenario-1'!$A$2:$A$42</c:f>
              <c:numCache>
                <c:formatCode>0</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'PolicyScenario-1'!$AT$2:$AT$42</c:f>
              <c:numCache>
                <c:formatCode>0.00</c:formatCode>
                <c:ptCount val="41"/>
                <c:pt idx="0">
                  <c:v>0.50336191002807862</c:v>
                </c:pt>
                <c:pt idx="1">
                  <c:v>0.50380229821445022</c:v>
                </c:pt>
                <c:pt idx="2">
                  <c:v>0.50452809061870385</c:v>
                </c:pt>
                <c:pt idx="3">
                  <c:v>0.5055311786438631</c:v>
                </c:pt>
                <c:pt idx="4">
                  <c:v>0.50683729707667413</c:v>
                </c:pt>
                <c:pt idx="5">
                  <c:v>0.50848272343705525</c:v>
                </c:pt>
                <c:pt idx="6">
                  <c:v>0.51050087918147202</c:v>
                </c:pt>
                <c:pt idx="7">
                  <c:v>0.51291893506611452</c:v>
                </c:pt>
                <c:pt idx="8">
                  <c:v>0.51575547937018162</c:v>
                </c:pt>
                <c:pt idx="9">
                  <c:v>0.51902016602749834</c:v>
                </c:pt>
                <c:pt idx="10">
                  <c:v>0.52271394382702019</c:v>
                </c:pt>
                <c:pt idx="11">
                  <c:v>0.52695432533287689</c:v>
                </c:pt>
                <c:pt idx="12">
                  <c:v>0.53155095377423656</c:v>
                </c:pt>
                <c:pt idx="13">
                  <c:v>0.53643433698315235</c:v>
                </c:pt>
                <c:pt idx="14">
                  <c:v>0.54155141213141966</c:v>
                </c:pt>
                <c:pt idx="15">
                  <c:v>0.54684540991522079</c:v>
                </c:pt>
                <c:pt idx="16">
                  <c:v>0.55134659761283222</c:v>
                </c:pt>
                <c:pt idx="17">
                  <c:v>0.55572470420856068</c:v>
                </c:pt>
                <c:pt idx="18">
                  <c:v>0.5601172370756573</c:v>
                </c:pt>
                <c:pt idx="19">
                  <c:v>0.56446151412514611</c:v>
                </c:pt>
                <c:pt idx="20">
                  <c:v>0.56869978095786633</c:v>
                </c:pt>
                <c:pt idx="21">
                  <c:v>0.57277966793588209</c:v>
                </c:pt>
                <c:pt idx="22">
                  <c:v>0.5766577351632326</c:v>
                </c:pt>
                <c:pt idx="23">
                  <c:v>0.58030243866556508</c:v>
                </c:pt>
                <c:pt idx="24">
                  <c:v>0.5836928866112675</c:v>
                </c:pt>
                <c:pt idx="25">
                  <c:v>0.58681826239681001</c:v>
                </c:pt>
                <c:pt idx="26">
                  <c:v>0.58967745650035863</c:v>
                </c:pt>
                <c:pt idx="27">
                  <c:v>0.59227544660556164</c:v>
                </c:pt>
                <c:pt idx="28">
                  <c:v>0.5946209635442663</c:v>
                </c:pt>
                <c:pt idx="29">
                  <c:v>0.59672670186674037</c:v>
                </c:pt>
                <c:pt idx="30">
                  <c:v>0.59860808320198533</c:v>
                </c:pt>
                <c:pt idx="31">
                  <c:v>0.60028532146794156</c:v>
                </c:pt>
                <c:pt idx="32">
                  <c:v>0.60177913302976882</c:v>
                </c:pt>
                <c:pt idx="33">
                  <c:v>0.60310721368118791</c:v>
                </c:pt>
                <c:pt idx="34">
                  <c:v>0.60428652617805778</c:v>
                </c:pt>
                <c:pt idx="35">
                  <c:v>0.60533255295921951</c:v>
                </c:pt>
                <c:pt idx="36">
                  <c:v>0.6062617992057977</c:v>
                </c:pt>
                <c:pt idx="37">
                  <c:v>0.60708962962903745</c:v>
                </c:pt>
                <c:pt idx="38">
                  <c:v>0.60782789738398757</c:v>
                </c:pt>
                <c:pt idx="39">
                  <c:v>0.60848714826949124</c:v>
                </c:pt>
                <c:pt idx="40">
                  <c:v>0.60999330537376983</c:v>
                </c:pt>
              </c:numCache>
            </c:numRef>
          </c:val>
        </c:ser>
        <c:marker val="1"/>
        <c:axId val="164702464"/>
        <c:axId val="164716544"/>
      </c:lineChart>
      <c:catAx>
        <c:axId val="164702464"/>
        <c:scaling>
          <c:orientation val="minMax"/>
        </c:scaling>
        <c:axPos val="b"/>
        <c:numFmt formatCode="0" sourceLinked="1"/>
        <c:tickLblPos val="nextTo"/>
        <c:txPr>
          <a:bodyPr rot="0" vert="horz"/>
          <a:lstStyle/>
          <a:p>
            <a:pPr>
              <a:defRPr sz="800"/>
            </a:pPr>
            <a:endParaRPr lang="fr-FR"/>
          </a:p>
        </c:txPr>
        <c:crossAx val="164716544"/>
        <c:crosses val="autoZero"/>
        <c:auto val="1"/>
        <c:lblAlgn val="ctr"/>
        <c:lblOffset val="100"/>
        <c:tickLblSkip val="5"/>
      </c:catAx>
      <c:valAx>
        <c:axId val="164716544"/>
        <c:scaling>
          <c:orientation val="minMax"/>
          <c:max val="0.8"/>
          <c:min val="0.4"/>
        </c:scaling>
        <c:axPos val="l"/>
        <c:majorGridlines/>
        <c:title>
          <c:tx>
            <c:rich>
              <a:bodyPr/>
              <a:lstStyle/>
              <a:p>
                <a:pPr>
                  <a:defRPr sz="1000">
                    <a:latin typeface="Century Gothic" panose="020B0502020202020204" pitchFamily="34" charset="0"/>
                  </a:defRPr>
                </a:pPr>
                <a:r>
                  <a:rPr lang="en-US" sz="1000">
                    <a:latin typeface="Century Gothic" panose="020B0502020202020204" pitchFamily="34" charset="0"/>
                  </a:rPr>
                  <a:t>IDH</a:t>
                </a:r>
              </a:p>
            </c:rich>
          </c:tx>
          <c:layout>
            <c:manualLayout>
              <c:xMode val="edge"/>
              <c:yMode val="edge"/>
              <c:x val="5.8608058608058608E-3"/>
              <c:y val="0.42796859923523906"/>
            </c:manualLayout>
          </c:layout>
        </c:title>
        <c:numFmt formatCode="0.000" sourceLinked="1"/>
        <c:tickLblPos val="nextTo"/>
        <c:txPr>
          <a:bodyPr rot="0" vert="horz"/>
          <a:lstStyle/>
          <a:p>
            <a:pPr>
              <a:defRPr sz="800"/>
            </a:pPr>
            <a:endParaRPr lang="fr-FR"/>
          </a:p>
        </c:txPr>
        <c:crossAx val="164702464"/>
        <c:crosses val="autoZero"/>
        <c:crossBetween val="between"/>
      </c:valAx>
    </c:plotArea>
    <c:legend>
      <c:legendPos val="b"/>
      <c:layout>
        <c:manualLayout>
          <c:xMode val="edge"/>
          <c:yMode val="edge"/>
          <c:x val="0.1753551592633259"/>
          <c:y val="0.93338333630133918"/>
          <c:w val="0.65832993730547396"/>
          <c:h val="6.6616663698660858E-2"/>
        </c:manualLayout>
      </c:layout>
      <c:txPr>
        <a:bodyPr/>
        <a:lstStyle/>
        <a:p>
          <a:pPr>
            <a:defRPr sz="800">
              <a:latin typeface="Century Gothic" panose="020B0502020202020204" pitchFamily="34" charset="0"/>
            </a:defRPr>
          </a:pPr>
          <a:endParaRPr lang="fr-FR"/>
        </a:p>
      </c:txPr>
    </c:legend>
    <c:plotVisOnly val="1"/>
    <c:dispBlanksAs val="gap"/>
  </c:chart>
  <c:spPr>
    <a:noFill/>
    <a:ln>
      <a:noFill/>
    </a:ln>
  </c:spPr>
  <c:txPr>
    <a:bodyPr/>
    <a:lstStyle/>
    <a:p>
      <a:pPr>
        <a:defRPr sz="1000" b="0" i="0" u="none" strike="noStrike" baseline="0">
          <a:solidFill>
            <a:srgbClr val="000000"/>
          </a:solidFill>
          <a:latin typeface="Century Gothic" panose="020B0502020202020204" pitchFamily="34" charset="0"/>
          <a:ea typeface="Calibri"/>
          <a:cs typeface="Calibri"/>
        </a:defRPr>
      </a:pPr>
      <a:endParaRPr lang="fr-F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8.1159401556457567E-2"/>
          <c:y val="0.10991675317956827"/>
          <c:w val="0.8895261762209945"/>
          <c:h val="0.77478367524656344"/>
        </c:manualLayout>
      </c:layout>
      <c:barChart>
        <c:barDir val="col"/>
        <c:grouping val="clustered"/>
        <c:ser>
          <c:idx val="0"/>
          <c:order val="0"/>
          <c:tx>
            <c:strRef>
              <c:f>Control!$A$6</c:f>
              <c:strCache>
                <c:ptCount val="1"/>
                <c:pt idx="0">
                  <c:v>Base</c:v>
                </c:pt>
              </c:strCache>
            </c:strRef>
          </c:tx>
          <c:spPr>
            <a:solidFill>
              <a:srgbClr val="0F6982"/>
            </a:solidFill>
          </c:spPr>
          <c:dLbls>
            <c:spPr>
              <a:noFill/>
              <a:ln>
                <a:noFill/>
              </a:ln>
              <a:effectLst/>
            </c:spPr>
            <c:txPr>
              <a:bodyPr/>
              <a:lstStyle/>
              <a:p>
                <a:pPr>
                  <a:defRPr sz="1000"/>
                </a:pPr>
                <a:endParaRPr lang="fr-FR"/>
              </a:p>
            </c:txPr>
            <c:showVal val="1"/>
            <c:extLst>
              <c:ext xmlns:c15="http://schemas.microsoft.com/office/drawing/2012/chart" uri="{CE6537A1-D6FC-4f65-9D91-7224C49458BB}">
                <c15:showLeaderLines val="0"/>
              </c:ext>
            </c:extLst>
          </c:dLbls>
          <c:val>
            <c:numRef>
              <c:f>'Base Scenario'!$AW$2</c:f>
              <c:numCache>
                <c:formatCode>0</c:formatCode>
                <c:ptCount val="1"/>
                <c:pt idx="0">
                  <c:v>120</c:v>
                </c:pt>
              </c:numCache>
            </c:numRef>
          </c:val>
        </c:ser>
        <c:ser>
          <c:idx val="1"/>
          <c:order val="1"/>
          <c:tx>
            <c:strRef>
              <c:f>Control!$A$9</c:f>
              <c:strCache>
                <c:ptCount val="1"/>
                <c:pt idx="0">
                  <c:v>Econ + Ed + Santé</c:v>
                </c:pt>
              </c:strCache>
            </c:strRef>
          </c:tx>
          <c:spPr>
            <a:solidFill>
              <a:srgbClr val="993129"/>
            </a:solidFill>
          </c:spPr>
          <c:dLbls>
            <c:spPr>
              <a:noFill/>
              <a:ln>
                <a:noFill/>
              </a:ln>
              <a:effectLst/>
            </c:spPr>
            <c:txPr>
              <a:bodyPr/>
              <a:lstStyle/>
              <a:p>
                <a:pPr>
                  <a:defRPr sz="1000"/>
                </a:pPr>
                <a:endParaRPr lang="fr-FR"/>
              </a:p>
            </c:txPr>
            <c:showVal val="1"/>
            <c:extLst>
              <c:ext xmlns:c15="http://schemas.microsoft.com/office/drawing/2012/chart" uri="{CE6537A1-D6FC-4f65-9D91-7224C49458BB}">
                <c15:showLeaderLines val="0"/>
              </c:ext>
            </c:extLst>
          </c:dLbls>
          <c:val>
            <c:numRef>
              <c:f>'PolicyScenario-3'!$AW$42</c:f>
              <c:numCache>
                <c:formatCode>0</c:formatCode>
                <c:ptCount val="1"/>
                <c:pt idx="0">
                  <c:v>47</c:v>
                </c:pt>
              </c:numCache>
            </c:numRef>
          </c:val>
        </c:ser>
        <c:ser>
          <c:idx val="2"/>
          <c:order val="2"/>
          <c:tx>
            <c:strRef>
              <c:f>Control!$A$8</c:f>
              <c:strCache>
                <c:ptCount val="1"/>
                <c:pt idx="0">
                  <c:v>Econ + Ed</c:v>
                </c:pt>
              </c:strCache>
            </c:strRef>
          </c:tx>
          <c:spPr>
            <a:solidFill>
              <a:srgbClr val="C48726"/>
            </a:solidFill>
          </c:spPr>
          <c:dLbls>
            <c:spPr>
              <a:noFill/>
              <a:ln>
                <a:noFill/>
              </a:ln>
              <a:effectLst/>
            </c:spPr>
            <c:txPr>
              <a:bodyPr/>
              <a:lstStyle/>
              <a:p>
                <a:pPr>
                  <a:defRPr sz="1000"/>
                </a:pPr>
                <a:endParaRPr lang="fr-FR"/>
              </a:p>
            </c:txPr>
            <c:showVal val="1"/>
            <c:extLst>
              <c:ext xmlns:c15="http://schemas.microsoft.com/office/drawing/2012/chart" uri="{CE6537A1-D6FC-4f65-9D91-7224C49458BB}">
                <c15:showLeaderLines val="0"/>
              </c:ext>
            </c:extLst>
          </c:dLbls>
          <c:val>
            <c:numRef>
              <c:f>'PolicyScenario-2'!$AW$42</c:f>
              <c:numCache>
                <c:formatCode>0</c:formatCode>
                <c:ptCount val="1"/>
                <c:pt idx="0">
                  <c:v>59</c:v>
                </c:pt>
              </c:numCache>
            </c:numRef>
          </c:val>
        </c:ser>
        <c:ser>
          <c:idx val="3"/>
          <c:order val="3"/>
          <c:tx>
            <c:strRef>
              <c:f>Control!$A$7</c:f>
              <c:strCache>
                <c:ptCount val="1"/>
                <c:pt idx="0">
                  <c:v>Econ</c:v>
                </c:pt>
              </c:strCache>
            </c:strRef>
          </c:tx>
          <c:spPr>
            <a:solidFill>
              <a:srgbClr val="989232"/>
            </a:solidFill>
          </c:spPr>
          <c:dLbls>
            <c:dLbl>
              <c:idx val="0"/>
              <c:layout/>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val>
            <c:numRef>
              <c:f>'PolicyScenario-1'!$AW$42</c:f>
              <c:numCache>
                <c:formatCode>0</c:formatCode>
                <c:ptCount val="1"/>
                <c:pt idx="0">
                  <c:v>105</c:v>
                </c:pt>
              </c:numCache>
            </c:numRef>
          </c:val>
        </c:ser>
        <c:gapWidth val="177"/>
        <c:overlap val="-21"/>
        <c:axId val="164744576"/>
        <c:axId val="164828288"/>
      </c:barChart>
      <c:catAx>
        <c:axId val="164744576"/>
        <c:scaling>
          <c:orientation val="minMax"/>
        </c:scaling>
        <c:delete val="1"/>
        <c:axPos val="b"/>
        <c:tickLblPos val="nextTo"/>
        <c:crossAx val="164828288"/>
        <c:crosses val="autoZero"/>
        <c:auto val="1"/>
        <c:lblAlgn val="ctr"/>
        <c:lblOffset val="100"/>
      </c:catAx>
      <c:valAx>
        <c:axId val="164828288"/>
        <c:scaling>
          <c:orientation val="minMax"/>
          <c:max val="150"/>
        </c:scaling>
        <c:axPos val="l"/>
        <c:majorGridlines>
          <c:spPr>
            <a:ln>
              <a:noFill/>
            </a:ln>
          </c:spPr>
        </c:majorGridlines>
        <c:numFmt formatCode="0" sourceLinked="1"/>
        <c:tickLblPos val="nextTo"/>
        <c:txPr>
          <a:bodyPr/>
          <a:lstStyle/>
          <a:p>
            <a:pPr>
              <a:defRPr sz="1000"/>
            </a:pPr>
            <a:endParaRPr lang="fr-FR"/>
          </a:p>
        </c:txPr>
        <c:crossAx val="164744576"/>
        <c:crosses val="autoZero"/>
        <c:crossBetween val="between"/>
      </c:valAx>
      <c:spPr>
        <a:noFill/>
        <a:ln>
          <a:solidFill>
            <a:schemeClr val="tx1"/>
          </a:solidFill>
        </a:ln>
      </c:spPr>
    </c:plotArea>
    <c:legend>
      <c:legendPos val="b"/>
      <c:layout/>
      <c:txPr>
        <a:bodyPr/>
        <a:lstStyle/>
        <a:p>
          <a:pPr>
            <a:defRPr sz="1000"/>
          </a:pPr>
          <a:endParaRPr lang="fr-FR"/>
        </a:p>
      </c:txPr>
    </c:legend>
    <c:plotVisOnly val="1"/>
    <c:dispBlanksAs val="gap"/>
  </c:chart>
  <c:spPr>
    <a:ln>
      <a:noFill/>
    </a:ln>
  </c:spPr>
  <c:txPr>
    <a:bodyPr/>
    <a:lstStyle/>
    <a:p>
      <a:pPr>
        <a:defRPr sz="1600" b="1">
          <a:latin typeface="Century Gothic" panose="020B0502020202020204" pitchFamily="34" charset="0"/>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Feuil1!$T$30</c:f>
              <c:strCache>
                <c:ptCount val="1"/>
                <c:pt idx="0">
                  <c:v>PIB</c:v>
                </c:pt>
              </c:strCache>
            </c:strRef>
          </c:tx>
          <c:dLbls>
            <c:spPr>
              <a:noFill/>
              <a:ln>
                <a:noFill/>
              </a:ln>
              <a:effectLst/>
            </c:spPr>
            <c:showVal val="1"/>
            <c:extLst>
              <c:ext xmlns:c15="http://schemas.microsoft.com/office/drawing/2012/chart" uri="{CE6537A1-D6FC-4f65-9D91-7224C49458BB}">
                <c15:showLeaderLines val="0"/>
              </c:ext>
            </c:extLst>
          </c:dLbls>
          <c:trendline>
            <c:trendlineType val="log"/>
          </c:trendline>
          <c:cat>
            <c:numRef>
              <c:f>Feuil1!$U$29:$AD$29</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Feuil1!$U$30:$AD$30</c:f>
              <c:numCache>
                <c:formatCode>General</c:formatCode>
                <c:ptCount val="10"/>
                <c:pt idx="0">
                  <c:v>980</c:v>
                </c:pt>
                <c:pt idx="1">
                  <c:v>1085</c:v>
                </c:pt>
                <c:pt idx="2">
                  <c:v>1209</c:v>
                </c:pt>
                <c:pt idx="3">
                  <c:v>1176</c:v>
                </c:pt>
                <c:pt idx="4">
                  <c:v>1159</c:v>
                </c:pt>
                <c:pt idx="5">
                  <c:v>1271</c:v>
                </c:pt>
                <c:pt idx="6">
                  <c:v>1234</c:v>
                </c:pt>
                <c:pt idx="7">
                  <c:v>1345</c:v>
                </c:pt>
                <c:pt idx="8">
                  <c:v>1410</c:v>
                </c:pt>
                <c:pt idx="9">
                  <c:v>1234</c:v>
                </c:pt>
              </c:numCache>
            </c:numRef>
          </c:val>
        </c:ser>
        <c:axId val="54348416"/>
        <c:axId val="54354304"/>
      </c:barChart>
      <c:catAx>
        <c:axId val="54348416"/>
        <c:scaling>
          <c:orientation val="minMax"/>
        </c:scaling>
        <c:axPos val="b"/>
        <c:numFmt formatCode="General" sourceLinked="1"/>
        <c:tickLblPos val="nextTo"/>
        <c:crossAx val="54354304"/>
        <c:crosses val="autoZero"/>
        <c:auto val="1"/>
        <c:lblAlgn val="ctr"/>
        <c:lblOffset val="100"/>
      </c:catAx>
      <c:valAx>
        <c:axId val="54354304"/>
        <c:scaling>
          <c:orientation val="minMax"/>
        </c:scaling>
        <c:axPos val="l"/>
        <c:numFmt formatCode="General" sourceLinked="1"/>
        <c:tickLblPos val="nextTo"/>
        <c:crossAx val="5434841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Feuil1!$T$30</c:f>
              <c:strCache>
                <c:ptCount val="1"/>
                <c:pt idx="0">
                  <c:v>PIB</c:v>
                </c:pt>
              </c:strCache>
            </c:strRef>
          </c:tx>
          <c:dLbls>
            <c:spPr>
              <a:noFill/>
              <a:ln>
                <a:noFill/>
              </a:ln>
              <a:effectLst/>
            </c:spPr>
            <c:showVal val="1"/>
            <c:extLst>
              <c:ext xmlns:c15="http://schemas.microsoft.com/office/drawing/2012/chart" uri="{CE6537A1-D6FC-4f65-9D91-7224C49458BB}">
                <c15:showLeaderLines val="0"/>
              </c:ext>
            </c:extLst>
          </c:dLbls>
          <c:cat>
            <c:numRef>
              <c:f>Feuil1!$U$29:$AI$29</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Feuil1!$U$30:$AI$30</c:f>
              <c:numCache>
                <c:formatCode>General</c:formatCode>
                <c:ptCount val="15"/>
                <c:pt idx="0">
                  <c:v>980</c:v>
                </c:pt>
                <c:pt idx="1">
                  <c:v>1085</c:v>
                </c:pt>
                <c:pt idx="2">
                  <c:v>1209</c:v>
                </c:pt>
                <c:pt idx="3">
                  <c:v>1176</c:v>
                </c:pt>
                <c:pt idx="4">
                  <c:v>1159</c:v>
                </c:pt>
                <c:pt idx="5">
                  <c:v>1271</c:v>
                </c:pt>
                <c:pt idx="6">
                  <c:v>1234</c:v>
                </c:pt>
                <c:pt idx="7">
                  <c:v>1345</c:v>
                </c:pt>
                <c:pt idx="8">
                  <c:v>1410</c:v>
                </c:pt>
                <c:pt idx="9">
                  <c:v>1234</c:v>
                </c:pt>
              </c:numCache>
            </c:numRef>
          </c:val>
        </c:ser>
        <c:ser>
          <c:idx val="1"/>
          <c:order val="1"/>
          <c:tx>
            <c:strRef>
              <c:f>Feuil1!$T$31</c:f>
              <c:strCache>
                <c:ptCount val="1"/>
                <c:pt idx="0">
                  <c:v>PIB/hbt</c:v>
                </c:pt>
              </c:strCache>
            </c:strRef>
          </c:tx>
          <c:dLbls>
            <c:spPr>
              <a:noFill/>
              <a:ln>
                <a:noFill/>
              </a:ln>
              <a:effectLst/>
            </c:spPr>
            <c:showVal val="1"/>
            <c:extLst>
              <c:ext xmlns:c15="http://schemas.microsoft.com/office/drawing/2012/chart" uri="{CE6537A1-D6FC-4f65-9D91-7224C49458BB}">
                <c15:showLeaderLines val="0"/>
              </c:ext>
            </c:extLst>
          </c:dLbls>
          <c:cat>
            <c:numRef>
              <c:f>Feuil1!$U$29:$AI$29</c:f>
              <c:numCache>
                <c:formatCode>General</c:formatCod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numCache>
            </c:numRef>
          </c:cat>
          <c:val>
            <c:numRef>
              <c:f>Feuil1!$U$31:$AI$31</c:f>
              <c:numCache>
                <c:formatCode>General</c:formatCode>
                <c:ptCount val="15"/>
                <c:pt idx="0">
                  <c:v>2340</c:v>
                </c:pt>
                <c:pt idx="1">
                  <c:v>2418</c:v>
                </c:pt>
                <c:pt idx="2">
                  <c:v>2472</c:v>
                </c:pt>
                <c:pt idx="3">
                  <c:v>2476</c:v>
                </c:pt>
                <c:pt idx="4">
                  <c:v>2523</c:v>
                </c:pt>
                <c:pt idx="5">
                  <c:v>2614</c:v>
                </c:pt>
                <c:pt idx="6">
                  <c:v>2715</c:v>
                </c:pt>
                <c:pt idx="7">
                  <c:v>2841</c:v>
                </c:pt>
                <c:pt idx="8">
                  <c:v>2983</c:v>
                </c:pt>
                <c:pt idx="9">
                  <c:v>3123</c:v>
                </c:pt>
                <c:pt idx="10">
                  <c:v>3223</c:v>
                </c:pt>
                <c:pt idx="11">
                  <c:v>3344</c:v>
                </c:pt>
                <c:pt idx="12">
                  <c:v>3465</c:v>
                </c:pt>
                <c:pt idx="13">
                  <c:v>3585</c:v>
                </c:pt>
                <c:pt idx="14">
                  <c:v>3706</c:v>
                </c:pt>
              </c:numCache>
            </c:numRef>
          </c:val>
        </c:ser>
        <c:axId val="56505088"/>
        <c:axId val="56506624"/>
      </c:barChart>
      <c:catAx>
        <c:axId val="56505088"/>
        <c:scaling>
          <c:orientation val="minMax"/>
        </c:scaling>
        <c:axPos val="b"/>
        <c:numFmt formatCode="General" sourceLinked="1"/>
        <c:tickLblPos val="nextTo"/>
        <c:crossAx val="56506624"/>
        <c:crosses val="autoZero"/>
        <c:auto val="1"/>
        <c:lblAlgn val="ctr"/>
        <c:lblOffset val="100"/>
      </c:catAx>
      <c:valAx>
        <c:axId val="56506624"/>
        <c:scaling>
          <c:orientation val="minMax"/>
        </c:scaling>
        <c:axPos val="l"/>
        <c:numFmt formatCode="General" sourceLinked="1"/>
        <c:tickLblPos val="nextTo"/>
        <c:crossAx val="56505088"/>
        <c:crosses val="autoZero"/>
        <c:crossBetween val="between"/>
      </c:valAx>
    </c:plotArea>
    <c:legend>
      <c:legendPos val="b"/>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3.7878788608566492E-2"/>
          <c:y val="1.060606085126614E-2"/>
          <c:w val="0.81818183394503063"/>
          <c:h val="0.83636365569984361"/>
        </c:manualLayout>
      </c:layout>
      <c:barChart>
        <c:barDir val="bar"/>
        <c:grouping val="clustered"/>
        <c:ser>
          <c:idx val="0"/>
          <c:order val="0"/>
          <c:spPr>
            <a:solidFill>
              <a:srgbClr val="8080FF"/>
            </a:solidFill>
            <a:ln w="12700">
              <a:solidFill>
                <a:srgbClr val="000000"/>
              </a:solidFill>
              <a:prstDash val="solid"/>
            </a:ln>
          </c:spPr>
          <c:cat>
            <c:strRef>
              <c:f>PYRAMID!$A$9:$A$28</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strCache>
            </c:strRef>
          </c:cat>
          <c:val>
            <c:numRef>
              <c:f>PYRAMID!$B$9:$B$28</c:f>
              <c:numCache>
                <c:formatCode>_-* #,##0\ _F_C_F_A_-;\-* #,##0\ _F_C_F_A_-;_-* "-"\ _F_C_F_A_-;_-@_-</c:formatCode>
                <c:ptCount val="20"/>
                <c:pt idx="0">
                  <c:v>1662298</c:v>
                </c:pt>
                <c:pt idx="1">
                  <c:v>1412467</c:v>
                </c:pt>
                <c:pt idx="2">
                  <c:v>1227470</c:v>
                </c:pt>
                <c:pt idx="3">
                  <c:v>1068509</c:v>
                </c:pt>
                <c:pt idx="4">
                  <c:v>855334</c:v>
                </c:pt>
                <c:pt idx="5">
                  <c:v>712550</c:v>
                </c:pt>
                <c:pt idx="6">
                  <c:v>588210</c:v>
                </c:pt>
                <c:pt idx="7">
                  <c:v>460394</c:v>
                </c:pt>
                <c:pt idx="8">
                  <c:v>388539</c:v>
                </c:pt>
                <c:pt idx="9">
                  <c:v>323507</c:v>
                </c:pt>
                <c:pt idx="10">
                  <c:v>261626</c:v>
                </c:pt>
                <c:pt idx="11">
                  <c:v>178876</c:v>
                </c:pt>
                <c:pt idx="12">
                  <c:v>155208</c:v>
                </c:pt>
                <c:pt idx="13">
                  <c:v>110645</c:v>
                </c:pt>
                <c:pt idx="14">
                  <c:v>88969</c:v>
                </c:pt>
                <c:pt idx="15">
                  <c:v>47173</c:v>
                </c:pt>
                <c:pt idx="16">
                  <c:v>57449</c:v>
                </c:pt>
              </c:numCache>
            </c:numRef>
          </c:val>
        </c:ser>
        <c:gapWidth val="0"/>
        <c:axId val="57604736"/>
        <c:axId val="57610624"/>
      </c:barChart>
      <c:catAx>
        <c:axId val="57604736"/>
        <c:scaling>
          <c:orientation val="minMax"/>
        </c:scaling>
        <c:axPos val="r"/>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Courier New"/>
                <a:ea typeface="Courier New"/>
                <a:cs typeface="Courier New"/>
              </a:defRPr>
            </a:pPr>
            <a:endParaRPr lang="fr-FR"/>
          </a:p>
        </c:txPr>
        <c:crossAx val="57610624"/>
        <c:crosses val="autoZero"/>
        <c:lblAlgn val="ctr"/>
        <c:lblOffset val="100"/>
        <c:tickLblSkip val="2"/>
        <c:tickMarkSkip val="1"/>
      </c:catAx>
      <c:valAx>
        <c:axId val="57610624"/>
        <c:scaling>
          <c:orientation val="maxMin"/>
        </c:scaling>
        <c:axPos val="b"/>
        <c:majorGridlines>
          <c:spPr>
            <a:ln w="3175">
              <a:solidFill>
                <a:srgbClr val="000000"/>
              </a:solidFill>
              <a:prstDash val="solid"/>
            </a:ln>
          </c:spPr>
        </c:majorGridlines>
        <c:numFmt formatCode="_-* #,##0\ _F_C_F_A_-;\-* #,##0\ _F_C_F_A_-;_-* &quot;-&quot;\ _F_C_F_A_-;_-@_-" sourceLinked="1"/>
        <c:tickLblPos val="nextTo"/>
        <c:spPr>
          <a:ln w="3175">
            <a:solidFill>
              <a:srgbClr val="000000"/>
            </a:solidFill>
            <a:prstDash val="solid"/>
          </a:ln>
        </c:spPr>
        <c:txPr>
          <a:bodyPr rot="-5400000" vert="horz"/>
          <a:lstStyle/>
          <a:p>
            <a:pPr>
              <a:defRPr sz="600" b="0" i="0" u="none" strike="noStrike" baseline="0">
                <a:solidFill>
                  <a:srgbClr val="000000"/>
                </a:solidFill>
                <a:latin typeface="Courier New"/>
                <a:ea typeface="Courier New"/>
                <a:cs typeface="Courier New"/>
              </a:defRPr>
            </a:pPr>
            <a:endParaRPr lang="fr-FR"/>
          </a:p>
        </c:txPr>
        <c:crossAx val="57604736"/>
        <c:crosses val="autoZero"/>
        <c:crossBetween val="between"/>
      </c:valAx>
      <c:spPr>
        <a:noFill/>
        <a:ln w="12700">
          <a:solidFill>
            <a:srgbClr val="808080"/>
          </a:solidFill>
          <a:prstDash val="solid"/>
        </a:ln>
      </c:spPr>
    </c:plotArea>
    <c:plotVisOnly val="1"/>
    <c:dispBlanksAs val="gap"/>
  </c:chart>
  <c:spPr>
    <a:solidFill>
      <a:srgbClr val="FFFFFF"/>
    </a:solidFill>
    <a:ln w="12700">
      <a:solidFill>
        <a:srgbClr val="000000"/>
      </a:solidFill>
      <a:prstDash val="solid"/>
    </a:ln>
  </c:spPr>
  <c:txPr>
    <a:bodyPr/>
    <a:lstStyle/>
    <a:p>
      <a:pPr>
        <a:defRPr sz="1000" b="0" i="0" u="none" strike="noStrike" baseline="0">
          <a:solidFill>
            <a:srgbClr val="000000"/>
          </a:solidFill>
          <a:latin typeface="Courier New"/>
          <a:ea typeface="Courier New"/>
          <a:cs typeface="Courier New"/>
        </a:defRPr>
      </a:pPr>
      <a:endParaRPr lang="fr-F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fr-FR"/>
  <c:chart>
    <c:plotArea>
      <c:layout>
        <c:manualLayout>
          <c:layoutTarget val="inner"/>
          <c:xMode val="edge"/>
          <c:yMode val="edge"/>
          <c:x val="8.750591180163414E-2"/>
          <c:y val="4.1855126319488727E-2"/>
          <c:w val="0.88715066853473867"/>
          <c:h val="0.65045669603925604"/>
        </c:manualLayout>
      </c:layout>
      <c:lineChart>
        <c:grouping val="standard"/>
        <c:ser>
          <c:idx val="0"/>
          <c:order val="0"/>
          <c:tx>
            <c:strRef>
              <c:f>Feuil1!$J$146</c:f>
              <c:strCache>
                <c:ptCount val="1"/>
                <c:pt idx="0">
                  <c:v>Econ</c:v>
                </c:pt>
              </c:strCache>
            </c:strRef>
          </c:tx>
          <c:marker>
            <c:symbol val="none"/>
          </c:marker>
          <c:cat>
            <c:numRef>
              <c:f>Feuil1!$I$147:$I$187</c:f>
              <c:numCache>
                <c:formatCode>General</c:formatCode>
                <c:ptCount val="13"/>
                <c:pt idx="0">
                  <c:v>2010</c:v>
                </c:pt>
                <c:pt idx="1">
                  <c:v>2011</c:v>
                </c:pt>
                <c:pt idx="2">
                  <c:v>2015</c:v>
                </c:pt>
                <c:pt idx="3">
                  <c:v>2020</c:v>
                </c:pt>
                <c:pt idx="4">
                  <c:v>2021</c:v>
                </c:pt>
                <c:pt idx="5">
                  <c:v>2025</c:v>
                </c:pt>
                <c:pt idx="6">
                  <c:v>2026</c:v>
                </c:pt>
                <c:pt idx="7">
                  <c:v>2030</c:v>
                </c:pt>
                <c:pt idx="8">
                  <c:v>2035</c:v>
                </c:pt>
                <c:pt idx="9">
                  <c:v>2036</c:v>
                </c:pt>
                <c:pt idx="10">
                  <c:v>2040</c:v>
                </c:pt>
                <c:pt idx="11">
                  <c:v>2045</c:v>
                </c:pt>
                <c:pt idx="12">
                  <c:v>2050</c:v>
                </c:pt>
              </c:numCache>
            </c:numRef>
          </c:cat>
          <c:val>
            <c:numRef>
              <c:f>Feuil1!$J$147:$J$187</c:f>
              <c:numCache>
                <c:formatCode>0.00</c:formatCode>
                <c:ptCount val="13"/>
                <c:pt idx="0">
                  <c:v>0.88</c:v>
                </c:pt>
                <c:pt idx="1">
                  <c:v>0.88</c:v>
                </c:pt>
                <c:pt idx="2">
                  <c:v>0.86000000000000065</c:v>
                </c:pt>
                <c:pt idx="3">
                  <c:v>0.83000000000000063</c:v>
                </c:pt>
                <c:pt idx="4">
                  <c:v>0.83000000000000063</c:v>
                </c:pt>
                <c:pt idx="5">
                  <c:v>0.83000000000000063</c:v>
                </c:pt>
                <c:pt idx="6">
                  <c:v>0.82000000000000062</c:v>
                </c:pt>
                <c:pt idx="7">
                  <c:v>0.82000000000000062</c:v>
                </c:pt>
                <c:pt idx="8">
                  <c:v>0.81</c:v>
                </c:pt>
                <c:pt idx="9">
                  <c:v>0.81</c:v>
                </c:pt>
                <c:pt idx="10">
                  <c:v>0.81</c:v>
                </c:pt>
                <c:pt idx="11">
                  <c:v>0.82000000000000062</c:v>
                </c:pt>
                <c:pt idx="12">
                  <c:v>0.83000000000000063</c:v>
                </c:pt>
              </c:numCache>
            </c:numRef>
          </c:val>
        </c:ser>
        <c:ser>
          <c:idx val="1"/>
          <c:order val="1"/>
          <c:tx>
            <c:strRef>
              <c:f>Feuil1!$K$146</c:f>
              <c:strCache>
                <c:ptCount val="1"/>
                <c:pt idx="0">
                  <c:v>Econ+Ed</c:v>
                </c:pt>
              </c:strCache>
            </c:strRef>
          </c:tx>
          <c:marker>
            <c:symbol val="none"/>
          </c:marker>
          <c:dLbls>
            <c:dLbl>
              <c:idx val="1"/>
              <c:layout>
                <c:manualLayout>
                  <c:x val="0"/>
                  <c:y val="5.1656926421012897E-2"/>
                </c:manualLayout>
              </c:layout>
              <c:showVal val="1"/>
              <c:extLst>
                <c:ext xmlns:c15="http://schemas.microsoft.com/office/drawing/2012/chart" uri="{CE6537A1-D6FC-4f65-9D91-7224C49458BB}"/>
              </c:extLst>
            </c:dLbl>
            <c:dLbl>
              <c:idx val="3"/>
              <c:layout>
                <c:manualLayout>
                  <c:x val="-4.2232484560123746E-17"/>
                  <c:y val="1.7325017325017327E-2"/>
                </c:manualLayout>
              </c:layout>
              <c:showVal val="1"/>
              <c:extLst>
                <c:ext xmlns:c15="http://schemas.microsoft.com/office/drawing/2012/chart" uri="{CE6537A1-D6FC-4f65-9D91-7224C49458BB}"/>
              </c:extLst>
            </c:dLbl>
            <c:dLbl>
              <c:idx val="4"/>
              <c:layout>
                <c:manualLayout>
                  <c:x val="-2.055076037813399E-3"/>
                  <c:y val="-6.1162079510703404E-2"/>
                </c:manualLayout>
              </c:layout>
              <c:showVal val="1"/>
              <c:extLst>
                <c:ext xmlns:c15="http://schemas.microsoft.com/office/drawing/2012/chart" uri="{CE6537A1-D6FC-4f65-9D91-7224C49458BB}"/>
              </c:extLst>
            </c:dLbl>
            <c:spPr>
              <a:noFill/>
              <a:ln>
                <a:noFill/>
              </a:ln>
              <a:effectLst/>
            </c:spPr>
            <c:txPr>
              <a:bodyPr/>
              <a:lstStyle/>
              <a:p>
                <a:pPr>
                  <a:defRPr sz="800"/>
                </a:pPr>
                <a:endParaRPr lang="fr-FR"/>
              </a:p>
            </c:txPr>
            <c:showVal val="1"/>
            <c:extLst>
              <c:ext xmlns:c15="http://schemas.microsoft.com/office/drawing/2012/chart" uri="{CE6537A1-D6FC-4f65-9D91-7224C49458BB}">
                <c15:showLeaderLines val="0"/>
              </c:ext>
            </c:extLst>
          </c:dLbls>
          <c:cat>
            <c:numRef>
              <c:f>Feuil1!$I$147:$I$187</c:f>
              <c:numCache>
                <c:formatCode>General</c:formatCode>
                <c:ptCount val="13"/>
                <c:pt idx="0">
                  <c:v>2010</c:v>
                </c:pt>
                <c:pt idx="1">
                  <c:v>2011</c:v>
                </c:pt>
                <c:pt idx="2">
                  <c:v>2015</c:v>
                </c:pt>
                <c:pt idx="3">
                  <c:v>2020</c:v>
                </c:pt>
                <c:pt idx="4">
                  <c:v>2021</c:v>
                </c:pt>
                <c:pt idx="5">
                  <c:v>2025</c:v>
                </c:pt>
                <c:pt idx="6">
                  <c:v>2026</c:v>
                </c:pt>
                <c:pt idx="7">
                  <c:v>2030</c:v>
                </c:pt>
                <c:pt idx="8">
                  <c:v>2035</c:v>
                </c:pt>
                <c:pt idx="9">
                  <c:v>2036</c:v>
                </c:pt>
                <c:pt idx="10">
                  <c:v>2040</c:v>
                </c:pt>
                <c:pt idx="11">
                  <c:v>2045</c:v>
                </c:pt>
                <c:pt idx="12">
                  <c:v>2050</c:v>
                </c:pt>
              </c:numCache>
            </c:numRef>
          </c:cat>
          <c:val>
            <c:numRef>
              <c:f>Feuil1!$K$147:$K$187</c:f>
              <c:numCache>
                <c:formatCode>0.00</c:formatCode>
                <c:ptCount val="13"/>
                <c:pt idx="0">
                  <c:v>0.88</c:v>
                </c:pt>
                <c:pt idx="1">
                  <c:v>0.88</c:v>
                </c:pt>
                <c:pt idx="2">
                  <c:v>0.86000000000000065</c:v>
                </c:pt>
                <c:pt idx="3">
                  <c:v>0.82000000000000062</c:v>
                </c:pt>
                <c:pt idx="4">
                  <c:v>0.81</c:v>
                </c:pt>
                <c:pt idx="5">
                  <c:v>0.8</c:v>
                </c:pt>
                <c:pt idx="6">
                  <c:v>0.8</c:v>
                </c:pt>
                <c:pt idx="7">
                  <c:v>0.78</c:v>
                </c:pt>
                <c:pt idx="8">
                  <c:v>0.76000000000000612</c:v>
                </c:pt>
                <c:pt idx="9">
                  <c:v>0.76000000000000612</c:v>
                </c:pt>
                <c:pt idx="10">
                  <c:v>0.75000000000000555</c:v>
                </c:pt>
                <c:pt idx="11">
                  <c:v>0.75000000000000555</c:v>
                </c:pt>
                <c:pt idx="12">
                  <c:v>0.75000000000000555</c:v>
                </c:pt>
              </c:numCache>
            </c:numRef>
          </c:val>
        </c:ser>
        <c:ser>
          <c:idx val="2"/>
          <c:order val="2"/>
          <c:tx>
            <c:strRef>
              <c:f>Feuil1!$L$146</c:f>
              <c:strCache>
                <c:ptCount val="1"/>
                <c:pt idx="0">
                  <c:v>Econ+Ed+santé</c:v>
                </c:pt>
              </c:strCache>
            </c:strRef>
          </c:tx>
          <c:marker>
            <c:symbol val="none"/>
          </c:marker>
          <c:dLbls>
            <c:dLbl>
              <c:idx val="0"/>
              <c:layout>
                <c:manualLayout>
                  <c:x val="0"/>
                  <c:y val="-9.2982467557823217E-2"/>
                </c:manualLayout>
              </c:layout>
              <c:showVal val="1"/>
              <c:extLst>
                <c:ext xmlns:c15="http://schemas.microsoft.com/office/drawing/2012/chart" uri="{CE6537A1-D6FC-4f65-9D91-7224C49458BB}"/>
              </c:extLst>
            </c:dLbl>
            <c:dLbl>
              <c:idx val="1"/>
              <c:layout>
                <c:manualLayout>
                  <c:x val="0"/>
                  <c:y val="0.11881093076832967"/>
                </c:manualLayout>
              </c:layout>
              <c:showVal val="1"/>
              <c:extLst>
                <c:ext xmlns:c15="http://schemas.microsoft.com/office/drawing/2012/chart" uri="{CE6537A1-D6FC-4f65-9D91-7224C49458BB}"/>
              </c:extLst>
            </c:dLbl>
            <c:dLbl>
              <c:idx val="2"/>
              <c:layout>
                <c:manualLayout>
                  <c:x val="0"/>
                  <c:y val="-6.7154004347316984E-2"/>
                </c:manualLayout>
              </c:layout>
              <c:showVal val="1"/>
              <c:extLst>
                <c:ext xmlns:c15="http://schemas.microsoft.com/office/drawing/2012/chart" uri="{CE6537A1-D6FC-4f65-9D91-7224C49458BB}"/>
              </c:extLst>
            </c:dLbl>
            <c:dLbl>
              <c:idx val="3"/>
              <c:layout>
                <c:manualLayout>
                  <c:x val="0"/>
                  <c:y val="6.2370062370062367E-2"/>
                </c:manualLayout>
              </c:layout>
              <c:showVal val="1"/>
              <c:extLst>
                <c:ext xmlns:c15="http://schemas.microsoft.com/office/drawing/2012/chart" uri="{CE6537A1-D6FC-4f65-9D91-7224C49458BB}"/>
              </c:extLst>
            </c:dLbl>
            <c:dLbl>
              <c:idx val="4"/>
              <c:layout>
                <c:manualLayout>
                  <c:x val="2.055076037813399E-3"/>
                  <c:y val="6.1162079510703404E-2"/>
                </c:manualLayout>
              </c:layout>
              <c:showVal val="1"/>
              <c:extLst>
                <c:ext xmlns:c15="http://schemas.microsoft.com/office/drawing/2012/chart" uri="{CE6537A1-D6FC-4f65-9D91-7224C49458BB}"/>
              </c:extLst>
            </c:dLbl>
            <c:dLbl>
              <c:idx val="5"/>
              <c:layout>
                <c:manualLayout>
                  <c:x val="0"/>
                  <c:y val="3.099415585260774E-2"/>
                </c:manualLayout>
              </c:layout>
              <c:showVal val="1"/>
              <c:extLst>
                <c:ext xmlns:c15="http://schemas.microsoft.com/office/drawing/2012/chart" uri="{CE6537A1-D6FC-4f65-9D91-7224C49458BB}"/>
              </c:extLst>
            </c:dLbl>
            <c:dLbl>
              <c:idx val="6"/>
              <c:layout>
                <c:manualLayout>
                  <c:x val="2.3039472421479586E-3"/>
                  <c:y val="5.1656926421012897E-2"/>
                </c:manualLayout>
              </c:layout>
              <c:showVal val="1"/>
              <c:extLst>
                <c:ext xmlns:c15="http://schemas.microsoft.com/office/drawing/2012/chart" uri="{CE6537A1-D6FC-4f65-9D91-7224C49458BB}"/>
              </c:extLst>
            </c:dLbl>
            <c:dLbl>
              <c:idx val="7"/>
              <c:layout>
                <c:manualLayout>
                  <c:x val="-8.4477089658876959E-17"/>
                  <c:y val="4.6491233778911734E-2"/>
                </c:manualLayout>
              </c:layout>
              <c:showVal val="1"/>
              <c:extLst>
                <c:ext xmlns:c15="http://schemas.microsoft.com/office/drawing/2012/chart" uri="{CE6537A1-D6FC-4f65-9D91-7224C49458BB}"/>
              </c:extLst>
            </c:dLbl>
            <c:spPr>
              <a:noFill/>
              <a:ln>
                <a:noFill/>
              </a:ln>
              <a:effectLst/>
            </c:spPr>
            <c:txPr>
              <a:bodyPr/>
              <a:lstStyle/>
              <a:p>
                <a:pPr>
                  <a:defRPr sz="800"/>
                </a:pPr>
                <a:endParaRPr lang="fr-FR"/>
              </a:p>
            </c:txPr>
            <c:showVal val="1"/>
            <c:extLst>
              <c:ext xmlns:c15="http://schemas.microsoft.com/office/drawing/2012/chart" uri="{CE6537A1-D6FC-4f65-9D91-7224C49458BB}">
                <c15:showLeaderLines val="0"/>
              </c:ext>
            </c:extLst>
          </c:dLbls>
          <c:cat>
            <c:numRef>
              <c:f>Feuil1!$I$147:$I$187</c:f>
              <c:numCache>
                <c:formatCode>General</c:formatCode>
                <c:ptCount val="13"/>
                <c:pt idx="0">
                  <c:v>2010</c:v>
                </c:pt>
                <c:pt idx="1">
                  <c:v>2011</c:v>
                </c:pt>
                <c:pt idx="2">
                  <c:v>2015</c:v>
                </c:pt>
                <c:pt idx="3">
                  <c:v>2020</c:v>
                </c:pt>
                <c:pt idx="4">
                  <c:v>2021</c:v>
                </c:pt>
                <c:pt idx="5">
                  <c:v>2025</c:v>
                </c:pt>
                <c:pt idx="6">
                  <c:v>2026</c:v>
                </c:pt>
                <c:pt idx="7">
                  <c:v>2030</c:v>
                </c:pt>
                <c:pt idx="8">
                  <c:v>2035</c:v>
                </c:pt>
                <c:pt idx="9">
                  <c:v>2036</c:v>
                </c:pt>
                <c:pt idx="10">
                  <c:v>2040</c:v>
                </c:pt>
                <c:pt idx="11">
                  <c:v>2045</c:v>
                </c:pt>
                <c:pt idx="12">
                  <c:v>2050</c:v>
                </c:pt>
              </c:numCache>
            </c:numRef>
          </c:cat>
          <c:val>
            <c:numRef>
              <c:f>Feuil1!$L$147:$L$187</c:f>
              <c:numCache>
                <c:formatCode>0.00</c:formatCode>
                <c:ptCount val="13"/>
                <c:pt idx="0">
                  <c:v>0.88</c:v>
                </c:pt>
                <c:pt idx="1">
                  <c:v>0.88</c:v>
                </c:pt>
                <c:pt idx="2">
                  <c:v>0.85000000000000064</c:v>
                </c:pt>
                <c:pt idx="3">
                  <c:v>0.81</c:v>
                </c:pt>
                <c:pt idx="4">
                  <c:v>0.8</c:v>
                </c:pt>
                <c:pt idx="5">
                  <c:v>0.77000000000000612</c:v>
                </c:pt>
                <c:pt idx="6">
                  <c:v>0.77000000000000612</c:v>
                </c:pt>
                <c:pt idx="7">
                  <c:v>0.74000000000000365</c:v>
                </c:pt>
                <c:pt idx="8">
                  <c:v>0.71000000000000063</c:v>
                </c:pt>
                <c:pt idx="9">
                  <c:v>0.71000000000000063</c:v>
                </c:pt>
                <c:pt idx="10">
                  <c:v>0.69000000000000061</c:v>
                </c:pt>
                <c:pt idx="11">
                  <c:v>0.68</c:v>
                </c:pt>
                <c:pt idx="12">
                  <c:v>0.67000000000000703</c:v>
                </c:pt>
              </c:numCache>
            </c:numRef>
          </c:val>
        </c:ser>
        <c:ser>
          <c:idx val="3"/>
          <c:order val="3"/>
          <c:tx>
            <c:strRef>
              <c:f>Feuil1!$M$146</c:f>
              <c:strCache>
                <c:ptCount val="1"/>
                <c:pt idx="0">
                  <c:v>Base</c:v>
                </c:pt>
              </c:strCache>
            </c:strRef>
          </c:tx>
          <c:marker>
            <c:symbol val="none"/>
          </c:marker>
          <c:dLbls>
            <c:dLbl>
              <c:idx val="0"/>
              <c:layout>
                <c:manualLayout>
                  <c:x val="0"/>
                  <c:y val="7.7294625076468518E-2"/>
                </c:manualLayout>
              </c:layout>
              <c:showVal val="1"/>
              <c:extLst>
                <c:ext xmlns:c15="http://schemas.microsoft.com/office/drawing/2012/chart" uri="{CE6537A1-D6FC-4f65-9D91-7224C49458BB}"/>
              </c:extLst>
            </c:dLbl>
            <c:dLbl>
              <c:idx val="1"/>
              <c:layout>
                <c:manualLayout>
                  <c:x val="2.3036166781847502E-3"/>
                  <c:y val="-4.8510048510048497E-2"/>
                </c:manualLayout>
              </c:layout>
              <c:showVal val="1"/>
              <c:extLst>
                <c:ext xmlns:c15="http://schemas.microsoft.com/office/drawing/2012/chart" uri="{CE6537A1-D6FC-4f65-9D91-7224C49458BB}"/>
              </c:extLst>
            </c:dLbl>
            <c:dLbl>
              <c:idx val="2"/>
              <c:layout>
                <c:manualLayout>
                  <c:x val="0"/>
                  <c:y val="9.8148160199924728E-2"/>
                </c:manualLayout>
              </c:layout>
              <c:showVal val="1"/>
              <c:extLst>
                <c:ext xmlns:c15="http://schemas.microsoft.com/office/drawing/2012/chart" uri="{CE6537A1-D6FC-4f65-9D91-7224C49458BB}"/>
              </c:extLst>
            </c:dLbl>
            <c:dLbl>
              <c:idx val="3"/>
              <c:layout>
                <c:manualLayout>
                  <c:x val="0"/>
                  <c:y val="-3.4650034650034647E-2"/>
                </c:manualLayout>
              </c:layout>
              <c:showVal val="1"/>
              <c:extLst>
                <c:ext xmlns:c15="http://schemas.microsoft.com/office/drawing/2012/chart" uri="{CE6537A1-D6FC-4f65-9D91-7224C49458BB}"/>
              </c:extLst>
            </c:dLbl>
            <c:dLbl>
              <c:idx val="5"/>
              <c:layout>
                <c:manualLayout>
                  <c:x val="0"/>
                  <c:y val="-7.7485389631519339E-2"/>
                </c:manualLayout>
              </c:layout>
              <c:showVal val="1"/>
              <c:extLst>
                <c:ext xmlns:c15="http://schemas.microsoft.com/office/drawing/2012/chart" uri="{CE6537A1-D6FC-4f65-9D91-7224C49458BB}"/>
              </c:extLst>
            </c:dLbl>
            <c:dLbl>
              <c:idx val="6"/>
              <c:layout>
                <c:manualLayout>
                  <c:x val="9.2157889685917562E-3"/>
                  <c:y val="-2.5828463210506438E-2"/>
                </c:manualLayout>
              </c:layout>
              <c:showVal val="1"/>
              <c:extLst>
                <c:ext xmlns:c15="http://schemas.microsoft.com/office/drawing/2012/chart" uri="{CE6537A1-D6FC-4f65-9D91-7224C49458BB}"/>
              </c:extLst>
            </c:dLbl>
            <c:dLbl>
              <c:idx val="7"/>
              <c:layout>
                <c:manualLayout>
                  <c:x val="-8.4477089658876959E-17"/>
                  <c:y val="-4.132554113681032E-2"/>
                </c:manualLayout>
              </c:layout>
              <c:showVal val="1"/>
              <c:extLst>
                <c:ext xmlns:c15="http://schemas.microsoft.com/office/drawing/2012/chart" uri="{CE6537A1-D6FC-4f65-9D91-7224C49458BB}"/>
              </c:extLst>
            </c:dLbl>
            <c:dLbl>
              <c:idx val="8"/>
              <c:layout>
                <c:manualLayout>
                  <c:x val="8.4477089658876959E-17"/>
                  <c:y val="-4.6491233778911734E-2"/>
                </c:manualLayout>
              </c:layout>
              <c:showVal val="1"/>
              <c:extLst>
                <c:ext xmlns:c15="http://schemas.microsoft.com/office/drawing/2012/chart" uri="{CE6537A1-D6FC-4f65-9D91-7224C49458BB}"/>
              </c:extLst>
            </c:dLbl>
            <c:dLbl>
              <c:idx val="9"/>
              <c:layout>
                <c:manualLayout>
                  <c:x val="0"/>
                  <c:y val="-4.132554113681032E-2"/>
                </c:manualLayout>
              </c:layout>
              <c:showVal val="1"/>
              <c:extLst>
                <c:ext xmlns:c15="http://schemas.microsoft.com/office/drawing/2012/chart" uri="{CE6537A1-D6FC-4f65-9D91-7224C49458BB}"/>
              </c:extLst>
            </c:dLbl>
            <c:dLbl>
              <c:idx val="10"/>
              <c:layout>
                <c:manualLayout>
                  <c:x val="0"/>
                  <c:y val="-5.1656926421012897E-2"/>
                </c:manualLayout>
              </c:layout>
              <c:showVal val="1"/>
              <c:extLst>
                <c:ext xmlns:c15="http://schemas.microsoft.com/office/drawing/2012/chart" uri="{CE6537A1-D6FC-4f65-9D91-7224C49458BB}"/>
              </c:extLst>
            </c:dLbl>
            <c:dLbl>
              <c:idx val="11"/>
              <c:layout>
                <c:manualLayout>
                  <c:x val="0"/>
                  <c:y val="-4.132554113681032E-2"/>
                </c:manualLayout>
              </c:layout>
              <c:showVal val="1"/>
              <c:extLst>
                <c:ext xmlns:c15="http://schemas.microsoft.com/office/drawing/2012/chart" uri="{CE6537A1-D6FC-4f65-9D91-7224C49458BB}"/>
              </c:extLst>
            </c:dLbl>
            <c:spPr>
              <a:noFill/>
              <a:ln>
                <a:noFill/>
              </a:ln>
              <a:effectLst/>
            </c:spPr>
            <c:txPr>
              <a:bodyPr/>
              <a:lstStyle/>
              <a:p>
                <a:pPr>
                  <a:defRPr sz="800"/>
                </a:pPr>
                <a:endParaRPr lang="fr-FR"/>
              </a:p>
            </c:txPr>
            <c:showVal val="1"/>
            <c:extLst>
              <c:ext xmlns:c15="http://schemas.microsoft.com/office/drawing/2012/chart" uri="{CE6537A1-D6FC-4f65-9D91-7224C49458BB}">
                <c15:showLeaderLines val="0"/>
              </c:ext>
            </c:extLst>
          </c:dLbls>
          <c:cat>
            <c:numRef>
              <c:f>Feuil1!$I$147:$I$187</c:f>
              <c:numCache>
                <c:formatCode>General</c:formatCode>
                <c:ptCount val="13"/>
                <c:pt idx="0">
                  <c:v>2010</c:v>
                </c:pt>
                <c:pt idx="1">
                  <c:v>2011</c:v>
                </c:pt>
                <c:pt idx="2">
                  <c:v>2015</c:v>
                </c:pt>
                <c:pt idx="3">
                  <c:v>2020</c:v>
                </c:pt>
                <c:pt idx="4">
                  <c:v>2021</c:v>
                </c:pt>
                <c:pt idx="5">
                  <c:v>2025</c:v>
                </c:pt>
                <c:pt idx="6">
                  <c:v>2026</c:v>
                </c:pt>
                <c:pt idx="7">
                  <c:v>2030</c:v>
                </c:pt>
                <c:pt idx="8">
                  <c:v>2035</c:v>
                </c:pt>
                <c:pt idx="9">
                  <c:v>2036</c:v>
                </c:pt>
                <c:pt idx="10">
                  <c:v>2040</c:v>
                </c:pt>
                <c:pt idx="11">
                  <c:v>2045</c:v>
                </c:pt>
                <c:pt idx="12">
                  <c:v>2050</c:v>
                </c:pt>
              </c:numCache>
            </c:numRef>
          </c:cat>
          <c:val>
            <c:numRef>
              <c:f>Feuil1!$M$147:$M$187</c:f>
              <c:numCache>
                <c:formatCode>0.00</c:formatCode>
                <c:ptCount val="13"/>
                <c:pt idx="0">
                  <c:v>0.88</c:v>
                </c:pt>
                <c:pt idx="1">
                  <c:v>0.88</c:v>
                </c:pt>
                <c:pt idx="2">
                  <c:v>0.86000000000000065</c:v>
                </c:pt>
                <c:pt idx="3">
                  <c:v>0.83000000000000063</c:v>
                </c:pt>
                <c:pt idx="4">
                  <c:v>0.83000000000000063</c:v>
                </c:pt>
                <c:pt idx="5">
                  <c:v>0.83000000000000063</c:v>
                </c:pt>
                <c:pt idx="6">
                  <c:v>0.82000000000000062</c:v>
                </c:pt>
                <c:pt idx="7">
                  <c:v>0.82000000000000062</c:v>
                </c:pt>
                <c:pt idx="8">
                  <c:v>0.81</c:v>
                </c:pt>
                <c:pt idx="9">
                  <c:v>0.81</c:v>
                </c:pt>
                <c:pt idx="10">
                  <c:v>0.81</c:v>
                </c:pt>
                <c:pt idx="11">
                  <c:v>0.82000000000000062</c:v>
                </c:pt>
                <c:pt idx="12">
                  <c:v>0.83000000000000063</c:v>
                </c:pt>
              </c:numCache>
            </c:numRef>
          </c:val>
        </c:ser>
        <c:marker val="1"/>
        <c:axId val="57665408"/>
        <c:axId val="57666944"/>
      </c:lineChart>
      <c:catAx>
        <c:axId val="57665408"/>
        <c:scaling>
          <c:orientation val="minMax"/>
        </c:scaling>
        <c:axPos val="b"/>
        <c:numFmt formatCode="General" sourceLinked="1"/>
        <c:tickLblPos val="nextTo"/>
        <c:crossAx val="57666944"/>
        <c:crosses val="autoZero"/>
        <c:auto val="1"/>
        <c:lblAlgn val="ctr"/>
        <c:lblOffset val="100"/>
      </c:catAx>
      <c:valAx>
        <c:axId val="57666944"/>
        <c:scaling>
          <c:orientation val="minMax"/>
        </c:scaling>
        <c:axPos val="l"/>
        <c:majorGridlines/>
        <c:numFmt formatCode="0.00" sourceLinked="1"/>
        <c:tickLblPos val="nextTo"/>
        <c:crossAx val="57665408"/>
        <c:crosses val="autoZero"/>
        <c:crossBetween val="between"/>
      </c:valAx>
    </c:plotArea>
    <c:legend>
      <c:legendPos val="b"/>
      <c:layout>
        <c:manualLayout>
          <c:xMode val="edge"/>
          <c:yMode val="edge"/>
          <c:x val="0.23699945953118701"/>
          <c:y val="0.93552625875893958"/>
          <c:w val="0.57102375150085283"/>
          <c:h val="5.5299429314454959E-2"/>
        </c:manualLayout>
      </c:layout>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fr-FR"/>
  <c:chart>
    <c:autoTitleDeleted val="1"/>
    <c:plotArea>
      <c:layout>
        <c:manualLayout>
          <c:layoutTarget val="inner"/>
          <c:xMode val="edge"/>
          <c:yMode val="edge"/>
          <c:x val="0.1366211939556938"/>
          <c:y val="9.568608923884514E-2"/>
          <c:w val="0.80126656769779159"/>
          <c:h val="0.73094487692773524"/>
        </c:manualLayout>
      </c:layout>
      <c:lineChart>
        <c:grouping val="standard"/>
        <c:ser>
          <c:idx val="0"/>
          <c:order val="0"/>
          <c:tx>
            <c:strRef>
              <c:f>Control!$A$6</c:f>
              <c:strCache>
                <c:ptCount val="1"/>
                <c:pt idx="0">
                  <c:v>Base</c:v>
                </c:pt>
              </c:strCache>
            </c:strRef>
          </c:tx>
          <c:spPr>
            <a:ln w="38100">
              <a:solidFill>
                <a:srgbClr val="0F6982"/>
              </a:solidFill>
            </a:ln>
          </c:spPr>
          <c:marker>
            <c:symbol val="none"/>
          </c:marker>
          <c:dLbls>
            <c:dLbl>
              <c:idx val="40"/>
              <c:layout>
                <c:manualLayout>
                  <c:x val="-4.5712911755903521E-3"/>
                  <c:y val="-6.8298970227206129E-2"/>
                </c:manualLayout>
              </c:layout>
              <c:spPr/>
              <c:txPr>
                <a:bodyPr/>
                <a:lstStyle/>
                <a:p>
                  <a:pPr>
                    <a:defRPr sz="1000"/>
                  </a:pPr>
                  <a:endParaRPr lang="fr-FR"/>
                </a:p>
              </c:txPr>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'Base Scenario'!$X$2:$X$42</c:f>
              <c:numCache>
                <c:formatCode>0.00</c:formatCode>
                <c:ptCount val="41"/>
                <c:pt idx="0">
                  <c:v>178.49921451064199</c:v>
                </c:pt>
                <c:pt idx="1">
                  <c:v>177.96138730808943</c:v>
                </c:pt>
                <c:pt idx="2">
                  <c:v>176.88195207394256</c:v>
                </c:pt>
                <c:pt idx="3">
                  <c:v>175.56268060665099</c:v>
                </c:pt>
                <c:pt idx="4">
                  <c:v>174.16941183547507</c:v>
                </c:pt>
                <c:pt idx="5">
                  <c:v>172.79850071171123</c:v>
                </c:pt>
                <c:pt idx="6">
                  <c:v>171.49539030447741</c:v>
                </c:pt>
                <c:pt idx="7">
                  <c:v>170.27630372382851</c:v>
                </c:pt>
                <c:pt idx="8">
                  <c:v>169.13956463428389</c:v>
                </c:pt>
                <c:pt idx="9">
                  <c:v>168.07716009310641</c:v>
                </c:pt>
                <c:pt idx="10">
                  <c:v>167.08446623326094</c:v>
                </c:pt>
                <c:pt idx="11">
                  <c:v>166.65180192755739</c:v>
                </c:pt>
                <c:pt idx="12">
                  <c:v>166.07524860927668</c:v>
                </c:pt>
                <c:pt idx="13">
                  <c:v>165.30446010692401</c:v>
                </c:pt>
                <c:pt idx="14">
                  <c:v>164.33184536300661</c:v>
                </c:pt>
                <c:pt idx="15">
                  <c:v>163.17208641829416</c:v>
                </c:pt>
                <c:pt idx="16">
                  <c:v>162.39740673147224</c:v>
                </c:pt>
                <c:pt idx="17">
                  <c:v>161.74337345149812</c:v>
                </c:pt>
                <c:pt idx="18">
                  <c:v>161.19086121675412</c:v>
                </c:pt>
                <c:pt idx="19">
                  <c:v>160.72688203528605</c:v>
                </c:pt>
                <c:pt idx="20">
                  <c:v>160.34130546513134</c:v>
                </c:pt>
                <c:pt idx="21">
                  <c:v>160.01399085291894</c:v>
                </c:pt>
                <c:pt idx="22">
                  <c:v>159.72369231755619</c:v>
                </c:pt>
                <c:pt idx="23">
                  <c:v>159.45917594712546</c:v>
                </c:pt>
                <c:pt idx="24">
                  <c:v>159.21167183306358</c:v>
                </c:pt>
                <c:pt idx="25">
                  <c:v>158.97520459788174</c:v>
                </c:pt>
                <c:pt idx="26">
                  <c:v>158.75119688370827</c:v>
                </c:pt>
                <c:pt idx="27">
                  <c:v>158.53620080689183</c:v>
                </c:pt>
                <c:pt idx="28">
                  <c:v>158.31684165300427</c:v>
                </c:pt>
                <c:pt idx="29">
                  <c:v>158.07996478165987</c:v>
                </c:pt>
                <c:pt idx="30">
                  <c:v>157.81424181452451</c:v>
                </c:pt>
                <c:pt idx="31">
                  <c:v>157.53003180161897</c:v>
                </c:pt>
                <c:pt idx="32">
                  <c:v>157.23975085280975</c:v>
                </c:pt>
                <c:pt idx="33">
                  <c:v>156.94005686505074</c:v>
                </c:pt>
                <c:pt idx="34">
                  <c:v>156.6280873929997</c:v>
                </c:pt>
                <c:pt idx="35">
                  <c:v>156.29926516963033</c:v>
                </c:pt>
                <c:pt idx="36">
                  <c:v>155.9636305223957</c:v>
                </c:pt>
                <c:pt idx="37">
                  <c:v>155.63351105878039</c:v>
                </c:pt>
                <c:pt idx="38">
                  <c:v>155.30861130193466</c:v>
                </c:pt>
                <c:pt idx="39">
                  <c:v>154.98864423121594</c:v>
                </c:pt>
                <c:pt idx="40">
                  <c:v>154.41160034993285</c:v>
                </c:pt>
              </c:numCache>
            </c:numRef>
          </c:val>
        </c:ser>
        <c:ser>
          <c:idx val="1"/>
          <c:order val="1"/>
          <c:tx>
            <c:strRef>
              <c:f>Control!$A$7</c:f>
              <c:strCache>
                <c:ptCount val="1"/>
                <c:pt idx="0">
                  <c:v>Econ</c:v>
                </c:pt>
              </c:strCache>
            </c:strRef>
          </c:tx>
          <c:spPr>
            <a:ln w="38100">
              <a:solidFill>
                <a:srgbClr val="989232"/>
              </a:solidFill>
            </a:ln>
          </c:spPr>
          <c:marker>
            <c:symbol val="none"/>
          </c:marker>
          <c:dLbls>
            <c:dLbl>
              <c:idx val="25"/>
              <c:layout>
                <c:manualLayout>
                  <c:x val="-2.2856455877951582E-3"/>
                  <c:y val="4.1738259583292699E-2"/>
                </c:manualLayout>
              </c:layout>
              <c:showVal val="1"/>
              <c:extLst>
                <c:ext xmlns:c15="http://schemas.microsoft.com/office/drawing/2012/chart" uri="{CE6537A1-D6FC-4f65-9D91-7224C49458BB}"/>
              </c:extLst>
            </c:dLbl>
            <c:dLbl>
              <c:idx val="40"/>
              <c:layout>
                <c:manualLayout>
                  <c:x val="-1.4657211111273958E-3"/>
                  <c:y val="-3.0392154516585262E-2"/>
                </c:manualLayout>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'PolicyScenario-1'!$X$2:$X$42</c:f>
              <c:numCache>
                <c:formatCode>0.00</c:formatCode>
                <c:ptCount val="41"/>
                <c:pt idx="0">
                  <c:v>178.49921451064199</c:v>
                </c:pt>
                <c:pt idx="1">
                  <c:v>180.06727679696832</c:v>
                </c:pt>
                <c:pt idx="2">
                  <c:v>182.28778745937271</c:v>
                </c:pt>
                <c:pt idx="3">
                  <c:v>185.20575213410567</c:v>
                </c:pt>
                <c:pt idx="4">
                  <c:v>188.97495533259792</c:v>
                </c:pt>
                <c:pt idx="5">
                  <c:v>193.79158925064812</c:v>
                </c:pt>
                <c:pt idx="6">
                  <c:v>199.8633498124689</c:v>
                </c:pt>
                <c:pt idx="7">
                  <c:v>207.41255565602938</c:v>
                </c:pt>
                <c:pt idx="8">
                  <c:v>216.68286265251407</c:v>
                </c:pt>
                <c:pt idx="9">
                  <c:v>227.953642733843</c:v>
                </c:pt>
                <c:pt idx="10">
                  <c:v>241.55577147941779</c:v>
                </c:pt>
                <c:pt idx="11">
                  <c:v>258.89856811032632</c:v>
                </c:pt>
                <c:pt idx="12">
                  <c:v>279.05532852775201</c:v>
                </c:pt>
                <c:pt idx="13">
                  <c:v>302.27705000117197</c:v>
                </c:pt>
                <c:pt idx="14">
                  <c:v>328.89932966756299</c:v>
                </c:pt>
                <c:pt idx="15">
                  <c:v>359.25616587653724</c:v>
                </c:pt>
                <c:pt idx="16">
                  <c:v>388.5487652594839</c:v>
                </c:pt>
                <c:pt idx="17">
                  <c:v>420.00417890040609</c:v>
                </c:pt>
                <c:pt idx="18">
                  <c:v>454.77290515086702</c:v>
                </c:pt>
                <c:pt idx="19">
                  <c:v>492.67988559138564</c:v>
                </c:pt>
                <c:pt idx="20">
                  <c:v>533.4193345817215</c:v>
                </c:pt>
                <c:pt idx="21">
                  <c:v>576.51725483196105</c:v>
                </c:pt>
                <c:pt idx="22">
                  <c:v>621.36904516761092</c:v>
                </c:pt>
                <c:pt idx="23">
                  <c:v>667.31331998755832</c:v>
                </c:pt>
                <c:pt idx="24">
                  <c:v>713.65322366124042</c:v>
                </c:pt>
                <c:pt idx="25">
                  <c:v>759.70419583220018</c:v>
                </c:pt>
                <c:pt idx="26">
                  <c:v>804.86614193230798</c:v>
                </c:pt>
                <c:pt idx="27">
                  <c:v>848.59046173596846</c:v>
                </c:pt>
                <c:pt idx="28">
                  <c:v>890.36345845857056</c:v>
                </c:pt>
                <c:pt idx="29">
                  <c:v>929.77320575190356</c:v>
                </c:pt>
                <c:pt idx="30">
                  <c:v>966.51886715242449</c:v>
                </c:pt>
                <c:pt idx="31">
                  <c:v>1000.5425203073213</c:v>
                </c:pt>
                <c:pt idx="32">
                  <c:v>1031.8909531431311</c:v>
                </c:pt>
                <c:pt idx="33">
                  <c:v>1060.5711921007912</c:v>
                </c:pt>
                <c:pt idx="34">
                  <c:v>1086.6479206537529</c:v>
                </c:pt>
                <c:pt idx="35">
                  <c:v>1110.2075197882621</c:v>
                </c:pt>
                <c:pt idx="36">
                  <c:v>1131.4750474610457</c:v>
                </c:pt>
                <c:pt idx="37">
                  <c:v>1150.7071229406251</c:v>
                </c:pt>
                <c:pt idx="38">
                  <c:v>1168.0642941739798</c:v>
                </c:pt>
                <c:pt idx="39">
                  <c:v>1183.706934191315</c:v>
                </c:pt>
                <c:pt idx="40">
                  <c:v>1221.5267529538303</c:v>
                </c:pt>
              </c:numCache>
            </c:numRef>
          </c:val>
        </c:ser>
        <c:ser>
          <c:idx val="2"/>
          <c:order val="2"/>
          <c:tx>
            <c:strRef>
              <c:f>Control!$A$8</c:f>
              <c:strCache>
                <c:ptCount val="1"/>
                <c:pt idx="0">
                  <c:v>Econ + Ed</c:v>
                </c:pt>
              </c:strCache>
            </c:strRef>
          </c:tx>
          <c:spPr>
            <a:ln w="38100">
              <a:solidFill>
                <a:srgbClr val="C48726"/>
              </a:solidFill>
            </a:ln>
          </c:spPr>
          <c:marker>
            <c:symbol val="none"/>
          </c:marker>
          <c:dLbls>
            <c:dLbl>
              <c:idx val="25"/>
              <c:layout/>
              <c:showVal val="1"/>
              <c:extLst>
                <c:ext xmlns:c15="http://schemas.microsoft.com/office/drawing/2012/chart" uri="{CE6537A1-D6FC-4f65-9D91-7224C49458BB}"/>
              </c:extLst>
            </c:dLbl>
            <c:dLbl>
              <c:idx val="40"/>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'PolicyScenario-2'!$X$2:$X$42</c:f>
              <c:numCache>
                <c:formatCode>0.00</c:formatCode>
                <c:ptCount val="41"/>
                <c:pt idx="0">
                  <c:v>178.49921451064199</c:v>
                </c:pt>
                <c:pt idx="1">
                  <c:v>181.0820761178127</c:v>
                </c:pt>
                <c:pt idx="2">
                  <c:v>184.68530837753744</c:v>
                </c:pt>
                <c:pt idx="3">
                  <c:v>189.13237368987336</c:v>
                </c:pt>
                <c:pt idx="4">
                  <c:v>194.53127906746141</c:v>
                </c:pt>
                <c:pt idx="5">
                  <c:v>201.09073364338778</c:v>
                </c:pt>
                <c:pt idx="6">
                  <c:v>209.05213594331047</c:v>
                </c:pt>
                <c:pt idx="7">
                  <c:v>218.68316485662621</c:v>
                </c:pt>
                <c:pt idx="8">
                  <c:v>230.28333678537803</c:v>
                </c:pt>
                <c:pt idx="9">
                  <c:v>244.34327060462351</c:v>
                </c:pt>
                <c:pt idx="10">
                  <c:v>261.14410173842401</c:v>
                </c:pt>
                <c:pt idx="11">
                  <c:v>282.33439124082724</c:v>
                </c:pt>
                <c:pt idx="12">
                  <c:v>306.98462404292025</c:v>
                </c:pt>
                <c:pt idx="13">
                  <c:v>335.46657856344143</c:v>
                </c:pt>
                <c:pt idx="14">
                  <c:v>368.25969211567468</c:v>
                </c:pt>
                <c:pt idx="15">
                  <c:v>398.86398665527224</c:v>
                </c:pt>
                <c:pt idx="16">
                  <c:v>433.23027181796726</c:v>
                </c:pt>
                <c:pt idx="17">
                  <c:v>471.86093073729199</c:v>
                </c:pt>
                <c:pt idx="18">
                  <c:v>514.77511882869851</c:v>
                </c:pt>
                <c:pt idx="19">
                  <c:v>561.84797316449249</c:v>
                </c:pt>
                <c:pt idx="20">
                  <c:v>612.7943686874645</c:v>
                </c:pt>
                <c:pt idx="21">
                  <c:v>667.11655373616452</c:v>
                </c:pt>
                <c:pt idx="22">
                  <c:v>724.1221926175981</c:v>
                </c:pt>
                <c:pt idx="23">
                  <c:v>782.98367310172887</c:v>
                </c:pt>
                <c:pt idx="24">
                  <c:v>842.84674822512056</c:v>
                </c:pt>
                <c:pt idx="25">
                  <c:v>902.99298460823752</c:v>
                </c:pt>
                <c:pt idx="26">
                  <c:v>962.66440503963315</c:v>
                </c:pt>
                <c:pt idx="27">
                  <c:v>1021.1515187710214</c:v>
                </c:pt>
                <c:pt idx="28">
                  <c:v>1077.797386050109</c:v>
                </c:pt>
                <c:pt idx="29">
                  <c:v>1132.0773125785486</c:v>
                </c:pt>
                <c:pt idx="30">
                  <c:v>1183.5788935386656</c:v>
                </c:pt>
                <c:pt idx="31">
                  <c:v>1232.167176468369</c:v>
                </c:pt>
                <c:pt idx="32">
                  <c:v>1277.8320188599362</c:v>
                </c:pt>
                <c:pt idx="33">
                  <c:v>1320.5377435440437</c:v>
                </c:pt>
                <c:pt idx="34">
                  <c:v>1360.3176206632261</c:v>
                </c:pt>
                <c:pt idx="35">
                  <c:v>1397.2180073645161</c:v>
                </c:pt>
                <c:pt idx="36">
                  <c:v>1431.4443836029475</c:v>
                </c:pt>
                <c:pt idx="37">
                  <c:v>1463.2400456420066</c:v>
                </c:pt>
                <c:pt idx="38">
                  <c:v>1492.7712932899758</c:v>
                </c:pt>
                <c:pt idx="39">
                  <c:v>1520.1886588799828</c:v>
                </c:pt>
                <c:pt idx="40">
                  <c:v>1575.4017301814663</c:v>
                </c:pt>
              </c:numCache>
            </c:numRef>
          </c:val>
        </c:ser>
        <c:ser>
          <c:idx val="3"/>
          <c:order val="3"/>
          <c:tx>
            <c:strRef>
              <c:f>Control!$A$9</c:f>
              <c:strCache>
                <c:ptCount val="1"/>
                <c:pt idx="0">
                  <c:v>Econ + Ed + Santé</c:v>
                </c:pt>
              </c:strCache>
            </c:strRef>
          </c:tx>
          <c:spPr>
            <a:ln w="38100">
              <a:solidFill>
                <a:srgbClr val="993129"/>
              </a:solidFill>
            </a:ln>
          </c:spPr>
          <c:marker>
            <c:symbol val="none"/>
          </c:marker>
          <c:dLbls>
            <c:dLbl>
              <c:idx val="0"/>
              <c:layout>
                <c:manualLayout>
                  <c:x val="-4.4025156505964665E-3"/>
                  <c:y val="-4.2516268012224016E-2"/>
                </c:manualLayout>
              </c:layout>
              <c:showVal val="1"/>
              <c:extLst>
                <c:ext xmlns:c15="http://schemas.microsoft.com/office/drawing/2012/chart" uri="{CE6537A1-D6FC-4f65-9D91-7224C49458BB}"/>
              </c:extLst>
            </c:dLbl>
            <c:dLbl>
              <c:idx val="25"/>
              <c:layout>
                <c:manualLayout>
                  <c:x val="-0.13028179850432478"/>
                  <c:y val="-6.8298970227206129E-2"/>
                </c:manualLayout>
              </c:layout>
              <c:showVal val="1"/>
              <c:extLst>
                <c:ext xmlns:c15="http://schemas.microsoft.com/office/drawing/2012/chart" uri="{CE6537A1-D6FC-4f65-9D91-7224C49458BB}"/>
              </c:extLst>
            </c:dLbl>
            <c:dLbl>
              <c:idx val="40"/>
              <c:layout>
                <c:manualLayout>
                  <c:x val="-2.9314422222547938E-3"/>
                  <c:y val="-3.2418298151024656E-2"/>
                </c:manualLayout>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'PolicyScenario-3'!$X$2:$X$42</c:f>
              <c:numCache>
                <c:formatCode>0.00</c:formatCode>
                <c:ptCount val="41"/>
                <c:pt idx="0">
                  <c:v>178.49921451064199</c:v>
                </c:pt>
                <c:pt idx="1">
                  <c:v>181.19467331936372</c:v>
                </c:pt>
                <c:pt idx="2">
                  <c:v>184.97719164902225</c:v>
                </c:pt>
                <c:pt idx="3">
                  <c:v>189.65768404898029</c:v>
                </c:pt>
                <c:pt idx="4">
                  <c:v>195.40104868169246</c:v>
                </c:pt>
                <c:pt idx="5">
                  <c:v>202.37386254642252</c:v>
                </c:pt>
                <c:pt idx="6">
                  <c:v>210.83398078849143</c:v>
                </c:pt>
                <c:pt idx="7">
                  <c:v>221.06691280940021</c:v>
                </c:pt>
                <c:pt idx="8">
                  <c:v>233.39451967103258</c:v>
                </c:pt>
                <c:pt idx="9">
                  <c:v>248.19357608096715</c:v>
                </c:pt>
                <c:pt idx="10">
                  <c:v>265.91686905939065</c:v>
                </c:pt>
                <c:pt idx="11">
                  <c:v>288.26697249645684</c:v>
                </c:pt>
                <c:pt idx="12">
                  <c:v>314.33918515448534</c:v>
                </c:pt>
                <c:pt idx="13">
                  <c:v>344.56201330945731</c:v>
                </c:pt>
                <c:pt idx="14">
                  <c:v>379.48682204783893</c:v>
                </c:pt>
                <c:pt idx="15">
                  <c:v>411.62964631513302</c:v>
                </c:pt>
                <c:pt idx="16">
                  <c:v>448.49003284612706</c:v>
                </c:pt>
                <c:pt idx="17">
                  <c:v>489.97295179314796</c:v>
                </c:pt>
                <c:pt idx="18">
                  <c:v>536.10762886191731</c:v>
                </c:pt>
                <c:pt idx="19">
                  <c:v>586.79290116388154</c:v>
                </c:pt>
                <c:pt idx="20">
                  <c:v>641.79423832812392</c:v>
                </c:pt>
                <c:pt idx="21">
                  <c:v>700.63561665691611</c:v>
                </c:pt>
                <c:pt idx="22">
                  <c:v>762.66310326521443</c:v>
                </c:pt>
                <c:pt idx="23">
                  <c:v>827.12444141929802</c:v>
                </c:pt>
                <c:pt idx="24">
                  <c:v>893.18522079063041</c:v>
                </c:pt>
                <c:pt idx="25">
                  <c:v>959.98232191404281</c:v>
                </c:pt>
                <c:pt idx="26">
                  <c:v>1026.7241799504359</c:v>
                </c:pt>
                <c:pt idx="27">
                  <c:v>1092.6636110327249</c:v>
                </c:pt>
                <c:pt idx="28">
                  <c:v>1157.0956036962411</c:v>
                </c:pt>
                <c:pt idx="29">
                  <c:v>1219.4455558654358</c:v>
                </c:pt>
                <c:pt idx="30">
                  <c:v>1279.267860908918</c:v>
                </c:pt>
                <c:pt idx="31">
                  <c:v>1336.4013801376425</c:v>
                </c:pt>
                <c:pt idx="32">
                  <c:v>1390.8107495953348</c:v>
                </c:pt>
                <c:pt idx="33">
                  <c:v>1442.4198681976161</c:v>
                </c:pt>
                <c:pt idx="34">
                  <c:v>1491.218938794472</c:v>
                </c:pt>
                <c:pt idx="35">
                  <c:v>1537.234310288934</c:v>
                </c:pt>
                <c:pt idx="36">
                  <c:v>1580.6610427083722</c:v>
                </c:pt>
                <c:pt idx="37">
                  <c:v>1621.7354021334879</c:v>
                </c:pt>
                <c:pt idx="38">
                  <c:v>1660.608764813994</c:v>
                </c:pt>
                <c:pt idx="39">
                  <c:v>1697.423644477029</c:v>
                </c:pt>
                <c:pt idx="40">
                  <c:v>1767.4301405687979</c:v>
                </c:pt>
              </c:numCache>
            </c:numRef>
          </c:val>
        </c:ser>
        <c:marker val="1"/>
        <c:axId val="73620864"/>
        <c:axId val="73626752"/>
      </c:lineChart>
      <c:catAx>
        <c:axId val="73620864"/>
        <c:scaling>
          <c:orientation val="minMax"/>
        </c:scaling>
        <c:axPos val="b"/>
        <c:numFmt formatCode="General" sourceLinked="1"/>
        <c:tickLblPos val="nextTo"/>
        <c:txPr>
          <a:bodyPr/>
          <a:lstStyle/>
          <a:p>
            <a:pPr>
              <a:defRPr sz="1000">
                <a:latin typeface="Century Gothic" panose="020B0502020202020204" pitchFamily="34" charset="0"/>
              </a:defRPr>
            </a:pPr>
            <a:endParaRPr lang="fr-FR"/>
          </a:p>
        </c:txPr>
        <c:crossAx val="73626752"/>
        <c:crosses val="autoZero"/>
        <c:auto val="1"/>
        <c:lblAlgn val="ctr"/>
        <c:lblOffset val="100"/>
        <c:tickLblSkip val="5"/>
      </c:catAx>
      <c:valAx>
        <c:axId val="73626752"/>
        <c:scaling>
          <c:orientation val="minMax"/>
        </c:scaling>
        <c:axPos val="l"/>
        <c:majorGridlines/>
        <c:title>
          <c:tx>
            <c:rich>
              <a:bodyPr rot="-5400000" vert="horz"/>
              <a:lstStyle/>
              <a:p>
                <a:pPr>
                  <a:defRPr sz="1000">
                    <a:latin typeface="Century Gothic" panose="020B0502020202020204" pitchFamily="34" charset="0"/>
                  </a:defRPr>
                </a:pPr>
                <a:r>
                  <a:rPr lang="en-US" sz="1000">
                    <a:latin typeface="Century Gothic" panose="020B0502020202020204" pitchFamily="34" charset="0"/>
                  </a:rPr>
                  <a:t>En dollars US</a:t>
                </a:r>
              </a:p>
            </c:rich>
          </c:tx>
          <c:layout>
            <c:manualLayout>
              <c:xMode val="edge"/>
              <c:yMode val="edge"/>
              <c:x val="3.8448057555982812E-3"/>
              <c:y val="0.400141510976673"/>
            </c:manualLayout>
          </c:layout>
        </c:title>
        <c:numFmt formatCode="&quot;$&quot;#,##0" sourceLinked="0"/>
        <c:tickLblPos val="nextTo"/>
        <c:txPr>
          <a:bodyPr/>
          <a:lstStyle/>
          <a:p>
            <a:pPr>
              <a:defRPr sz="1000">
                <a:latin typeface="Century Gothic" panose="020B0502020202020204" pitchFamily="34" charset="0"/>
              </a:defRPr>
            </a:pPr>
            <a:endParaRPr lang="fr-FR"/>
          </a:p>
        </c:txPr>
        <c:crossAx val="73620864"/>
        <c:crosses val="autoZero"/>
        <c:crossBetween val="between"/>
      </c:valAx>
    </c:plotArea>
    <c:legend>
      <c:legendPos val="b"/>
      <c:layout/>
      <c:txPr>
        <a:bodyPr/>
        <a:lstStyle/>
        <a:p>
          <a:pPr>
            <a:defRPr sz="1000">
              <a:latin typeface="Century Gothic" panose="020B0502020202020204" pitchFamily="34" charset="0"/>
            </a:defRPr>
          </a:pPr>
          <a:endParaRPr lang="fr-FR"/>
        </a:p>
      </c:txPr>
    </c:legend>
    <c:plotVisOnly val="1"/>
    <c:dispBlanksAs val="gap"/>
  </c:chart>
  <c:spPr>
    <a:ln>
      <a:noFill/>
    </a:ln>
  </c:spPr>
  <c:txPr>
    <a:bodyPr/>
    <a:lstStyle/>
    <a:p>
      <a:pPr>
        <a:defRPr sz="1600">
          <a:latin typeface="Arial" panose="020B0604020202020204" pitchFamily="34" charset="0"/>
          <a:cs typeface="Arial" panose="020B0604020202020204" pitchFamily="34" charset="0"/>
        </a:defRPr>
      </a:pPr>
      <a:endParaRPr lang="fr-F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1467952401526067"/>
          <c:y val="0.11728448102016092"/>
          <c:w val="0.8179852124840683"/>
          <c:h val="0.70680939675140764"/>
        </c:manualLayout>
      </c:layout>
      <c:lineChart>
        <c:grouping val="standard"/>
        <c:ser>
          <c:idx val="1"/>
          <c:order val="0"/>
          <c:tx>
            <c:strRef>
              <c:f>Control!$A$6</c:f>
              <c:strCache>
                <c:ptCount val="1"/>
                <c:pt idx="0">
                  <c:v>Base</c:v>
                </c:pt>
              </c:strCache>
            </c:strRef>
          </c:tx>
          <c:spPr>
            <a:ln w="38100">
              <a:solidFill>
                <a:srgbClr val="0F6982"/>
              </a:solidFill>
            </a:ln>
          </c:spPr>
          <c:marker>
            <c:symbol val="none"/>
          </c:marker>
          <c:dLbls>
            <c:dLbl>
              <c:idx val="25"/>
              <c:layout>
                <c:manualLayout>
                  <c:x val="0"/>
                  <c:y val="-3.8467099630106874E-2"/>
                </c:manualLayout>
              </c:layout>
              <c:showVal val="1"/>
              <c:extLst>
                <c:ext xmlns:c15="http://schemas.microsoft.com/office/drawing/2012/chart" uri="{CE6537A1-D6FC-4f65-9D91-7224C49458BB}"/>
              </c:extLst>
            </c:dLbl>
            <c:dLbl>
              <c:idx val="40"/>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'Base Scenario'!$AD$2:$AD$42</c:f>
              <c:numCache>
                <c:formatCode>_(* #,##0_);_(* \(#,##0\);_(* "-"??_);_(@_)</c:formatCode>
                <c:ptCount val="41"/>
                <c:pt idx="0">
                  <c:v>46574625599.999947</c:v>
                </c:pt>
                <c:pt idx="1">
                  <c:v>47602050403.50708</c:v>
                </c:pt>
                <c:pt idx="2">
                  <c:v>48528518716.950043</c:v>
                </c:pt>
                <c:pt idx="3">
                  <c:v>49426614639.186859</c:v>
                </c:pt>
                <c:pt idx="4">
                  <c:v>50331942483.627075</c:v>
                </c:pt>
                <c:pt idx="5">
                  <c:v>51263850810.139771</c:v>
                </c:pt>
                <c:pt idx="6">
                  <c:v>52233306125.454338</c:v>
                </c:pt>
                <c:pt idx="7">
                  <c:v>53245735152.359482</c:v>
                </c:pt>
                <c:pt idx="8">
                  <c:v>54302939902.533157</c:v>
                </c:pt>
                <c:pt idx="9">
                  <c:v>55405073686.869781</c:v>
                </c:pt>
                <c:pt idx="10">
                  <c:v>56552363657.844742</c:v>
                </c:pt>
                <c:pt idx="11">
                  <c:v>57809032601.983513</c:v>
                </c:pt>
                <c:pt idx="12">
                  <c:v>59112705161.763954</c:v>
                </c:pt>
                <c:pt idx="13">
                  <c:v>60432763741.186234</c:v>
                </c:pt>
                <c:pt idx="14">
                  <c:v>61754780203.040375</c:v>
                </c:pt>
                <c:pt idx="15">
                  <c:v>63072499031.756065</c:v>
                </c:pt>
                <c:pt idx="16">
                  <c:v>64468823765.460007</c:v>
                </c:pt>
                <c:pt idx="17">
                  <c:v>65936105773.448883</c:v>
                </c:pt>
                <c:pt idx="18">
                  <c:v>67471374669.589111</c:v>
                </c:pt>
                <c:pt idx="19">
                  <c:v>69073780062.449799</c:v>
                </c:pt>
                <c:pt idx="20">
                  <c:v>70743377944.998779</c:v>
                </c:pt>
                <c:pt idx="21">
                  <c:v>72480534573.559875</c:v>
                </c:pt>
                <c:pt idx="22">
                  <c:v>74285565766.284988</c:v>
                </c:pt>
                <c:pt idx="23">
                  <c:v>76158526049.846649</c:v>
                </c:pt>
                <c:pt idx="24">
                  <c:v>78099423744.135086</c:v>
                </c:pt>
                <c:pt idx="25">
                  <c:v>80108379436.8349</c:v>
                </c:pt>
                <c:pt idx="26">
                  <c:v>82186837281.568588</c:v>
                </c:pt>
                <c:pt idx="27">
                  <c:v>84336375041.76564</c:v>
                </c:pt>
                <c:pt idx="28">
                  <c:v>86557063788.353607</c:v>
                </c:pt>
                <c:pt idx="29">
                  <c:v>88848266868.451263</c:v>
                </c:pt>
                <c:pt idx="30">
                  <c:v>91209153189.164215</c:v>
                </c:pt>
                <c:pt idx="31">
                  <c:v>93641759206.126587</c:v>
                </c:pt>
                <c:pt idx="32">
                  <c:v>96149700484.310471</c:v>
                </c:pt>
                <c:pt idx="33">
                  <c:v>98735106358.33284</c:v>
                </c:pt>
                <c:pt idx="34">
                  <c:v>101399568603.5007</c:v>
                </c:pt>
                <c:pt idx="35">
                  <c:v>104143903198.70879</c:v>
                </c:pt>
                <c:pt idx="36">
                  <c:v>106970994408.06099</c:v>
                </c:pt>
                <c:pt idx="37">
                  <c:v>109885263832.47227</c:v>
                </c:pt>
                <c:pt idx="38">
                  <c:v>112890250112.80203</c:v>
                </c:pt>
                <c:pt idx="39">
                  <c:v>115989342113.62582</c:v>
                </c:pt>
                <c:pt idx="40">
                  <c:v>119276431233.32182</c:v>
                </c:pt>
              </c:numCache>
            </c:numRef>
          </c:val>
        </c:ser>
        <c:ser>
          <c:idx val="0"/>
          <c:order val="1"/>
          <c:tx>
            <c:strRef>
              <c:f>Control!$A$7</c:f>
              <c:strCache>
                <c:ptCount val="1"/>
                <c:pt idx="0">
                  <c:v>Econ</c:v>
                </c:pt>
              </c:strCache>
            </c:strRef>
          </c:tx>
          <c:spPr>
            <a:ln>
              <a:solidFill>
                <a:srgbClr val="989232"/>
              </a:solidFill>
            </a:ln>
          </c:spPr>
          <c:marker>
            <c:symbol val="none"/>
          </c:marker>
          <c:dLbls>
            <c:dLbl>
              <c:idx val="25"/>
              <c:layout>
                <c:manualLayout>
                  <c:x val="8.8050313011930267E-3"/>
                  <c:y val="4.8590020585398172E-2"/>
                </c:manualLayout>
              </c:layout>
              <c:showVal val="1"/>
              <c:extLst>
                <c:ext xmlns:c15="http://schemas.microsoft.com/office/drawing/2012/chart" uri="{CE6537A1-D6FC-4f65-9D91-7224C49458BB}"/>
              </c:extLst>
            </c:dLbl>
            <c:dLbl>
              <c:idx val="40"/>
              <c:layout>
                <c:manualLayout>
                  <c:x val="0"/>
                  <c:y val="-3.1928480204342177E-2"/>
                </c:manualLayout>
              </c:layout>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val>
            <c:numRef>
              <c:f>'PolicyScenario-1'!$AD$2:$AD$42</c:f>
              <c:numCache>
                <c:formatCode>0.00</c:formatCode>
                <c:ptCount val="41"/>
                <c:pt idx="0">
                  <c:v>46574625599.999947</c:v>
                </c:pt>
                <c:pt idx="1">
                  <c:v>48230177142.006355</c:v>
                </c:pt>
                <c:pt idx="2">
                  <c:v>50190195298.007683</c:v>
                </c:pt>
                <c:pt idx="3">
                  <c:v>52477449146.98568</c:v>
                </c:pt>
                <c:pt idx="4">
                  <c:v>55152143149.011269</c:v>
                </c:pt>
                <c:pt idx="5">
                  <c:v>58297585109.978912</c:v>
                </c:pt>
                <c:pt idx="6">
                  <c:v>62016750747.332321</c:v>
                </c:pt>
                <c:pt idx="7">
                  <c:v>66432490890.106796</c:v>
                </c:pt>
                <c:pt idx="8">
                  <c:v>71691432716.75972</c:v>
                </c:pt>
                <c:pt idx="9">
                  <c:v>77970746514.328552</c:v>
                </c:pt>
                <c:pt idx="10">
                  <c:v>85486158181.125427</c:v>
                </c:pt>
                <c:pt idx="11">
                  <c:v>94711634338.776871</c:v>
                </c:pt>
                <c:pt idx="12">
                  <c:v>105726082461.06595</c:v>
                </c:pt>
                <c:pt idx="13">
                  <c:v>118799399093.62268</c:v>
                </c:pt>
                <c:pt idx="14">
                  <c:v>134273092761.03709</c:v>
                </c:pt>
                <c:pt idx="15">
                  <c:v>152526234845.88138</c:v>
                </c:pt>
                <c:pt idx="16">
                  <c:v>170954452007.95328</c:v>
                </c:pt>
                <c:pt idx="17">
                  <c:v>191414679376.55231</c:v>
                </c:pt>
                <c:pt idx="18">
                  <c:v>214666586675.95728</c:v>
                </c:pt>
                <c:pt idx="19">
                  <c:v>240827466429.91196</c:v>
                </c:pt>
                <c:pt idx="20">
                  <c:v>269940875405.5018</c:v>
                </c:pt>
                <c:pt idx="21">
                  <c:v>301966134477.18817</c:v>
                </c:pt>
                <c:pt idx="22">
                  <c:v>336774669704.49951</c:v>
                </c:pt>
                <c:pt idx="23">
                  <c:v>374155004545.38507</c:v>
                </c:pt>
                <c:pt idx="24">
                  <c:v>413828908053.90552</c:v>
                </c:pt>
                <c:pt idx="25">
                  <c:v>455472838465.64294</c:v>
                </c:pt>
                <c:pt idx="26">
                  <c:v>498752652396.63965</c:v>
                </c:pt>
                <c:pt idx="27">
                  <c:v>543335213188.46429</c:v>
                </c:pt>
                <c:pt idx="28">
                  <c:v>588895456431.36035</c:v>
                </c:pt>
                <c:pt idx="29">
                  <c:v>635141878721.93054</c:v>
                </c:pt>
                <c:pt idx="30">
                  <c:v>681827974790.43738</c:v>
                </c:pt>
                <c:pt idx="31">
                  <c:v>728789145787.0802</c:v>
                </c:pt>
                <c:pt idx="32">
                  <c:v>775920885229.02393</c:v>
                </c:pt>
                <c:pt idx="33">
                  <c:v>823143576602.9718</c:v>
                </c:pt>
                <c:pt idx="34">
                  <c:v>870416774261.53259</c:v>
                </c:pt>
                <c:pt idx="35">
                  <c:v>917724708205.60413</c:v>
                </c:pt>
                <c:pt idx="36">
                  <c:v>965106490975.37219</c:v>
                </c:pt>
                <c:pt idx="37">
                  <c:v>1012632864212.251</c:v>
                </c:pt>
                <c:pt idx="38">
                  <c:v>1060370881889.7367</c:v>
                </c:pt>
                <c:pt idx="39">
                  <c:v>1108398550930.8542</c:v>
                </c:pt>
                <c:pt idx="40">
                  <c:v>1184556747318.6831</c:v>
                </c:pt>
              </c:numCache>
            </c:numRef>
          </c:val>
        </c:ser>
        <c:ser>
          <c:idx val="2"/>
          <c:order val="2"/>
          <c:tx>
            <c:strRef>
              <c:f>Control!$A$8</c:f>
              <c:strCache>
                <c:ptCount val="1"/>
                <c:pt idx="0">
                  <c:v>Econ + Ed</c:v>
                </c:pt>
              </c:strCache>
            </c:strRef>
          </c:tx>
          <c:spPr>
            <a:ln>
              <a:solidFill>
                <a:srgbClr val="C48726"/>
              </a:solidFill>
            </a:ln>
          </c:spPr>
          <c:marker>
            <c:symbol val="none"/>
          </c:marker>
          <c:val>
            <c:numRef>
              <c:f>'PolicyScenario-2'!$AD$2:$AD$42</c:f>
              <c:numCache>
                <c:formatCode>0.00</c:formatCode>
                <c:ptCount val="41"/>
                <c:pt idx="0">
                  <c:v>46574625599.999947</c:v>
                </c:pt>
                <c:pt idx="1">
                  <c:v>48531855186.621925</c:v>
                </c:pt>
                <c:pt idx="2">
                  <c:v>50917318843.724854</c:v>
                </c:pt>
                <c:pt idx="3">
                  <c:v>53692942331.726624</c:v>
                </c:pt>
                <c:pt idx="4">
                  <c:v>56908646493.305031</c:v>
                </c:pt>
                <c:pt idx="5">
                  <c:v>60655452696.600876</c:v>
                </c:pt>
                <c:pt idx="6">
                  <c:v>65051948655.320038</c:v>
                </c:pt>
                <c:pt idx="7">
                  <c:v>70242173094.831863</c:v>
                </c:pt>
                <c:pt idx="8">
                  <c:v>76399900924.483093</c:v>
                </c:pt>
                <c:pt idx="9">
                  <c:v>83701115644.326996</c:v>
                </c:pt>
                <c:pt idx="10">
                  <c:v>92421898882.02066</c:v>
                </c:pt>
                <c:pt idx="11">
                  <c:v>103121037145.08449</c:v>
                </c:pt>
                <c:pt idx="12">
                  <c:v>115913015645.51929</c:v>
                </c:pt>
                <c:pt idx="13">
                  <c:v>131135976723.77443</c:v>
                </c:pt>
                <c:pt idx="14">
                  <c:v>149215787908.37695</c:v>
                </c:pt>
                <c:pt idx="15">
                  <c:v>167273782852.52478</c:v>
                </c:pt>
                <c:pt idx="16">
                  <c:v>187717967003.42032</c:v>
                </c:pt>
                <c:pt idx="17">
                  <c:v>211229600913.59036</c:v>
                </c:pt>
                <c:pt idx="18">
                  <c:v>238036640066.45636</c:v>
                </c:pt>
                <c:pt idx="19">
                  <c:v>268301871204.42828</c:v>
                </c:pt>
                <c:pt idx="20">
                  <c:v>302102608810.05896</c:v>
                </c:pt>
                <c:pt idx="21">
                  <c:v>339414345143.92072</c:v>
                </c:pt>
                <c:pt idx="22">
                  <c:v>380098166848.07117</c:v>
                </c:pt>
                <c:pt idx="23">
                  <c:v>423896280103.38135</c:v>
                </c:pt>
                <c:pt idx="24">
                  <c:v>470470301380.24817</c:v>
                </c:pt>
                <c:pt idx="25">
                  <c:v>519460291511.41272</c:v>
                </c:pt>
                <c:pt idx="26">
                  <c:v>570455602601.77087</c:v>
                </c:pt>
                <c:pt idx="27">
                  <c:v>623037584257.91602</c:v>
                </c:pt>
                <c:pt idx="28">
                  <c:v>676794105358.59351</c:v>
                </c:pt>
                <c:pt idx="29">
                  <c:v>731350598973.11084</c:v>
                </c:pt>
                <c:pt idx="30">
                  <c:v>786379779307.45642</c:v>
                </c:pt>
                <c:pt idx="31">
                  <c:v>841645745813.87012</c:v>
                </c:pt>
                <c:pt idx="32">
                  <c:v>896980415375.125</c:v>
                </c:pt>
                <c:pt idx="33">
                  <c:v>952249210711.18921</c:v>
                </c:pt>
                <c:pt idx="34">
                  <c:v>1007362549452.9509</c:v>
                </c:pt>
                <c:pt idx="35">
                  <c:v>1062256212616.6183</c:v>
                </c:pt>
                <c:pt idx="36">
                  <c:v>1116927140688.6191</c:v>
                </c:pt>
                <c:pt idx="37">
                  <c:v>1171406731597.3115</c:v>
                </c:pt>
                <c:pt idx="38">
                  <c:v>1225735131963.1118</c:v>
                </c:pt>
                <c:pt idx="39">
                  <c:v>1279959894125.022</c:v>
                </c:pt>
                <c:pt idx="40">
                  <c:v>1367704555998.6296</c:v>
                </c:pt>
              </c:numCache>
            </c:numRef>
          </c:val>
        </c:ser>
        <c:ser>
          <c:idx val="3"/>
          <c:order val="3"/>
          <c:tx>
            <c:strRef>
              <c:f>Control!$A$9</c:f>
              <c:strCache>
                <c:ptCount val="1"/>
                <c:pt idx="0">
                  <c:v>Econ + Ed + Santé</c:v>
                </c:pt>
              </c:strCache>
            </c:strRef>
          </c:tx>
          <c:spPr>
            <a:ln>
              <a:solidFill>
                <a:srgbClr val="993129"/>
              </a:solidFill>
            </a:ln>
          </c:spPr>
          <c:marker>
            <c:symbol val="none"/>
          </c:marker>
          <c:dLbls>
            <c:dLbl>
              <c:idx val="0"/>
              <c:layout>
                <c:manualLayout>
                  <c:x val="2.9350104337309588E-3"/>
                  <c:y val="-3.2393347056932212E-2"/>
                </c:manualLayout>
              </c:layout>
              <c:showVal val="1"/>
              <c:extLst>
                <c:ext xmlns:c15="http://schemas.microsoft.com/office/drawing/2012/chart" uri="{CE6537A1-D6FC-4f65-9D91-7224C49458BB}"/>
              </c:extLst>
            </c:dLbl>
            <c:dLbl>
              <c:idx val="25"/>
              <c:layout>
                <c:manualLayout>
                  <c:x val="-6.0167713891485834E-2"/>
                  <c:y val="-7.0860446687039072E-2"/>
                </c:manualLayout>
              </c:layout>
              <c:showVal val="1"/>
              <c:extLst>
                <c:ext xmlns:c15="http://schemas.microsoft.com/office/drawing/2012/chart" uri="{CE6537A1-D6FC-4f65-9D91-7224C49458BB}"/>
              </c:extLst>
            </c:dLbl>
            <c:dLbl>
              <c:idx val="40"/>
              <c:layout>
                <c:manualLayout>
                  <c:x val="-1.0272536518058569E-2"/>
                  <c:y val="-4.4540852203281661E-2"/>
                </c:manualLayout>
              </c:layout>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val>
            <c:numRef>
              <c:f>'PolicyScenario-3'!$AD$2:$AD$42</c:f>
              <c:numCache>
                <c:formatCode>0.00</c:formatCode>
                <c:ptCount val="41"/>
                <c:pt idx="0">
                  <c:v>46574625599.999947</c:v>
                </c:pt>
                <c:pt idx="1">
                  <c:v>48552953826.119316</c:v>
                </c:pt>
                <c:pt idx="2">
                  <c:v>50967949074.03109</c:v>
                </c:pt>
                <c:pt idx="3">
                  <c:v>53777604875.719002</c:v>
                </c:pt>
                <c:pt idx="4">
                  <c:v>57023332863.330376</c:v>
                </c:pt>
                <c:pt idx="5">
                  <c:v>60800520622.749786</c:v>
                </c:pt>
                <c:pt idx="6">
                  <c:v>65229756652.367882</c:v>
                </c:pt>
                <c:pt idx="7">
                  <c:v>70456653839.398972</c:v>
                </c:pt>
                <c:pt idx="8">
                  <c:v>76656719355.04007</c:v>
                </c:pt>
                <c:pt idx="9">
                  <c:v>84043821443.367554</c:v>
                </c:pt>
                <c:pt idx="10">
                  <c:v>92880555941.996338</c:v>
                </c:pt>
                <c:pt idx="11">
                  <c:v>103730821170.59703</c:v>
                </c:pt>
                <c:pt idx="12">
                  <c:v>116717837378.03801</c:v>
                </c:pt>
                <c:pt idx="13">
                  <c:v>132193001123.35826</c:v>
                </c:pt>
                <c:pt idx="14">
                  <c:v>150599950887.12079</c:v>
                </c:pt>
                <c:pt idx="15">
                  <c:v>168657661667.78693</c:v>
                </c:pt>
                <c:pt idx="16">
                  <c:v>189439808443.95328</c:v>
                </c:pt>
                <c:pt idx="17">
                  <c:v>213343164112.69131</c:v>
                </c:pt>
                <c:pt idx="18">
                  <c:v>240593493219.27591</c:v>
                </c:pt>
                <c:pt idx="19">
                  <c:v>271352511076.86102</c:v>
                </c:pt>
                <c:pt idx="20">
                  <c:v>305702206597.96869</c:v>
                </c:pt>
                <c:pt idx="21">
                  <c:v>343615747946.99573</c:v>
                </c:pt>
                <c:pt idx="22">
                  <c:v>384955943533.18304</c:v>
                </c:pt>
                <c:pt idx="23">
                  <c:v>429479307626.93323</c:v>
                </c:pt>
                <c:pt idx="24">
                  <c:v>476851013117.33618</c:v>
                </c:pt>
                <c:pt idx="25">
                  <c:v>526668955910.44385</c:v>
                </c:pt>
                <c:pt idx="26">
                  <c:v>578505137628.83533</c:v>
                </c:pt>
                <c:pt idx="27">
                  <c:v>631922169084.0415</c:v>
                </c:pt>
                <c:pt idx="28">
                  <c:v>686488199979.87207</c:v>
                </c:pt>
                <c:pt idx="29">
                  <c:v>741809663981.85034</c:v>
                </c:pt>
                <c:pt idx="30">
                  <c:v>797543036937.54248</c:v>
                </c:pt>
                <c:pt idx="31">
                  <c:v>853435624852.06995</c:v>
                </c:pt>
                <c:pt idx="32">
                  <c:v>909302301314.85535</c:v>
                </c:pt>
                <c:pt idx="33">
                  <c:v>964989651034.61169</c:v>
                </c:pt>
                <c:pt idx="34">
                  <c:v>1020388576181.7401</c:v>
                </c:pt>
                <c:pt idx="35">
                  <c:v>1075419872116.1239</c:v>
                </c:pt>
                <c:pt idx="36">
                  <c:v>1130064476209.1396</c:v>
                </c:pt>
                <c:pt idx="37">
                  <c:v>1184336561354.6951</c:v>
                </c:pt>
                <c:pt idx="38">
                  <c:v>1238256909529.99</c:v>
                </c:pt>
                <c:pt idx="39">
                  <c:v>1291854297283.1511</c:v>
                </c:pt>
                <c:pt idx="40">
                  <c:v>1377761223278.6921</c:v>
                </c:pt>
              </c:numCache>
            </c:numRef>
          </c:val>
        </c:ser>
        <c:marker val="1"/>
        <c:axId val="73656576"/>
        <c:axId val="75042816"/>
      </c:lineChart>
      <c:catAx>
        <c:axId val="73656576"/>
        <c:scaling>
          <c:orientation val="minMax"/>
        </c:scaling>
        <c:axPos val="b"/>
        <c:numFmt formatCode="General" sourceLinked="1"/>
        <c:tickLblPos val="nextTo"/>
        <c:txPr>
          <a:bodyPr rot="0" vert="horz"/>
          <a:lstStyle/>
          <a:p>
            <a:pPr>
              <a:defRPr sz="800">
                <a:latin typeface="Century Gothic" panose="020B0502020202020204" pitchFamily="34" charset="0"/>
              </a:defRPr>
            </a:pPr>
            <a:endParaRPr lang="fr-FR"/>
          </a:p>
        </c:txPr>
        <c:crossAx val="75042816"/>
        <c:crosses val="autoZero"/>
        <c:auto val="1"/>
        <c:lblAlgn val="ctr"/>
        <c:lblOffset val="100"/>
        <c:tickLblSkip val="5"/>
      </c:catAx>
      <c:valAx>
        <c:axId val="75042816"/>
        <c:scaling>
          <c:orientation val="minMax"/>
        </c:scaling>
        <c:axPos val="l"/>
        <c:majorGridlines/>
        <c:title>
          <c:tx>
            <c:rich>
              <a:bodyPr/>
              <a:lstStyle/>
              <a:p>
                <a:pPr>
                  <a:defRPr sz="1000">
                    <a:latin typeface="Century Gothic" panose="020B0502020202020204" pitchFamily="34" charset="0"/>
                  </a:defRPr>
                </a:pPr>
                <a:r>
                  <a:rPr lang="en-US" sz="1000">
                    <a:latin typeface="Century Gothic" panose="020B0502020202020204" pitchFamily="34" charset="0"/>
                  </a:rPr>
                  <a:t>En</a:t>
                </a:r>
                <a:r>
                  <a:rPr lang="en-US" sz="1000" baseline="0">
                    <a:latin typeface="Century Gothic" panose="020B0502020202020204" pitchFamily="34" charset="0"/>
                  </a:rPr>
                  <a:t> milliards de dollars U</a:t>
                </a:r>
                <a:r>
                  <a:rPr lang="en-US" sz="1000">
                    <a:latin typeface="Century Gothic" panose="020B0502020202020204" pitchFamily="34" charset="0"/>
                  </a:rPr>
                  <a:t>S</a:t>
                </a:r>
              </a:p>
            </c:rich>
          </c:tx>
          <c:layout/>
        </c:title>
        <c:numFmt formatCode="#,##0" sourceLinked="0"/>
        <c:tickLblPos val="nextTo"/>
        <c:txPr>
          <a:bodyPr rot="0" vert="horz"/>
          <a:lstStyle/>
          <a:p>
            <a:pPr>
              <a:defRPr sz="1000">
                <a:latin typeface="Century Gothic" panose="020B0502020202020204" pitchFamily="34" charset="0"/>
              </a:defRPr>
            </a:pPr>
            <a:endParaRPr lang="fr-FR"/>
          </a:p>
        </c:txPr>
        <c:crossAx val="73656576"/>
        <c:crosses val="autoZero"/>
        <c:crossBetween val="between"/>
        <c:dispUnits>
          <c:builtInUnit val="billions"/>
        </c:dispUnits>
      </c:valAx>
    </c:plotArea>
    <c:legend>
      <c:legendPos val="b"/>
      <c:layout/>
      <c:txPr>
        <a:bodyPr/>
        <a:lstStyle/>
        <a:p>
          <a:pPr>
            <a:defRPr sz="800">
              <a:latin typeface="Century Gothic" panose="020B0502020202020204" pitchFamily="34" charset="0"/>
            </a:defRPr>
          </a:pPr>
          <a:endParaRPr lang="fr-FR"/>
        </a:p>
      </c:txPr>
    </c:legend>
    <c:plotVisOnly val="1"/>
    <c:dispBlanksAs val="gap"/>
  </c:chart>
  <c:spPr>
    <a:ln>
      <a:noFill/>
    </a:ln>
  </c:spPr>
  <c:txPr>
    <a:bodyPr/>
    <a:lstStyle/>
    <a:p>
      <a:pPr>
        <a:defRPr sz="1600" b="0" i="0" u="none" strike="noStrike" baseline="0">
          <a:solidFill>
            <a:srgbClr val="000000"/>
          </a:solidFill>
          <a:latin typeface="Arial" panose="020B0604020202020204" pitchFamily="34" charset="0"/>
          <a:ea typeface="Calibri"/>
          <a:cs typeface="Arial" panose="020B0604020202020204" pitchFamily="34" charset="0"/>
        </a:defRPr>
      </a:pPr>
      <a:endParaRPr lang="fr-F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manualLayout>
          <c:layoutTarget val="inner"/>
          <c:xMode val="edge"/>
          <c:yMode val="edge"/>
          <c:x val="0.11794219219019936"/>
          <c:y val="0.15305943035486919"/>
          <c:w val="0.80922139394232451"/>
          <c:h val="0.67879304799458107"/>
        </c:manualLayout>
      </c:layout>
      <c:lineChart>
        <c:grouping val="standard"/>
        <c:ser>
          <c:idx val="0"/>
          <c:order val="0"/>
          <c:tx>
            <c:strRef>
              <c:f>Control!$A$6</c:f>
              <c:strCache>
                <c:ptCount val="1"/>
                <c:pt idx="0">
                  <c:v>Base</c:v>
                </c:pt>
              </c:strCache>
            </c:strRef>
          </c:tx>
          <c:spPr>
            <a:ln w="38100">
              <a:solidFill>
                <a:srgbClr val="0F6982"/>
              </a:solidFill>
            </a:ln>
          </c:spPr>
          <c:marker>
            <c:symbol val="none"/>
          </c:marker>
          <c:dLbls>
            <c:dLbl>
              <c:idx val="25"/>
              <c:layout>
                <c:manualLayout>
                  <c:x val="-1.0744686621274401E-16"/>
                  <c:y val="-4.8411497730711905E-2"/>
                </c:manualLayout>
              </c:layout>
              <c:showVal val="1"/>
              <c:extLst>
                <c:ext xmlns:c15="http://schemas.microsoft.com/office/drawing/2012/chart" uri="{CE6537A1-D6FC-4f65-9D91-7224C49458BB}"/>
              </c:extLst>
            </c:dLbl>
            <c:dLbl>
              <c:idx val="40"/>
              <c:layout/>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'Base Scenario'!$AF$2:$AF$42</c:f>
              <c:numCache>
                <c:formatCode>0</c:formatCode>
                <c:ptCount val="41"/>
                <c:pt idx="0">
                  <c:v>2399.9999999999973</c:v>
                </c:pt>
                <c:pt idx="1">
                  <c:v>2385.5384466336982</c:v>
                </c:pt>
                <c:pt idx="2">
                  <c:v>2364.4296447892693</c:v>
                </c:pt>
                <c:pt idx="3">
                  <c:v>2340.8068725827552</c:v>
                </c:pt>
                <c:pt idx="4">
                  <c:v>2316.6121089574422</c:v>
                </c:pt>
                <c:pt idx="5">
                  <c:v>2292.8915775501687</c:v>
                </c:pt>
                <c:pt idx="6">
                  <c:v>2270.1508498838284</c:v>
                </c:pt>
                <c:pt idx="7">
                  <c:v>2248.6217548357272</c:v>
                </c:pt>
                <c:pt idx="8">
                  <c:v>2228.357598240179</c:v>
                </c:pt>
                <c:pt idx="9">
                  <c:v>2209.3143054703564</c:v>
                </c:pt>
                <c:pt idx="10">
                  <c:v>2191.4317421315272</c:v>
                </c:pt>
                <c:pt idx="11">
                  <c:v>2176.9898080821454</c:v>
                </c:pt>
                <c:pt idx="12">
                  <c:v>2163.4061089861771</c:v>
                </c:pt>
                <c:pt idx="13">
                  <c:v>2149.5916368591593</c:v>
                </c:pt>
                <c:pt idx="14">
                  <c:v>2135.1229477365946</c:v>
                </c:pt>
                <c:pt idx="15">
                  <c:v>2119.8867625276439</c:v>
                </c:pt>
                <c:pt idx="16">
                  <c:v>2106.5588521086947</c:v>
                </c:pt>
                <c:pt idx="17">
                  <c:v>2094.6364537523914</c:v>
                </c:pt>
                <c:pt idx="18">
                  <c:v>2083.9232463986914</c:v>
                </c:pt>
                <c:pt idx="19">
                  <c:v>2074.2982790737938</c:v>
                </c:pt>
                <c:pt idx="20">
                  <c:v>2065.6737835181152</c:v>
                </c:pt>
                <c:pt idx="21">
                  <c:v>2057.8877327616228</c:v>
                </c:pt>
                <c:pt idx="22">
                  <c:v>2050.7695211089808</c:v>
                </c:pt>
                <c:pt idx="23">
                  <c:v>2044.2249915487985</c:v>
                </c:pt>
                <c:pt idx="24">
                  <c:v>2038.1736760211895</c:v>
                </c:pt>
                <c:pt idx="25">
                  <c:v>2032.5526433623038</c:v>
                </c:pt>
                <c:pt idx="26">
                  <c:v>2027.3391564673843</c:v>
                </c:pt>
                <c:pt idx="27">
                  <c:v>2022.4872415658044</c:v>
                </c:pt>
                <c:pt idx="28">
                  <c:v>2017.8942137241045</c:v>
                </c:pt>
                <c:pt idx="29">
                  <c:v>2013.4491250843637</c:v>
                </c:pt>
                <c:pt idx="30">
                  <c:v>2009.0474094912381</c:v>
                </c:pt>
                <c:pt idx="31">
                  <c:v>2004.7168449767837</c:v>
                </c:pt>
                <c:pt idx="32">
                  <c:v>2000.5152561934703</c:v>
                </c:pt>
                <c:pt idx="33">
                  <c:v>1996.4133620485384</c:v>
                </c:pt>
                <c:pt idx="34">
                  <c:v>1992.3789531010261</c:v>
                </c:pt>
                <c:pt idx="35">
                  <c:v>1988.3698887445987</c:v>
                </c:pt>
                <c:pt idx="36">
                  <c:v>1984.431354266753</c:v>
                </c:pt>
                <c:pt idx="37">
                  <c:v>1980.6325448061898</c:v>
                </c:pt>
                <c:pt idx="38">
                  <c:v>1976.9692456628138</c:v>
                </c:pt>
                <c:pt idx="39">
                  <c:v>1973.4334792043198</c:v>
                </c:pt>
                <c:pt idx="40">
                  <c:v>1967.2462701412521</c:v>
                </c:pt>
              </c:numCache>
            </c:numRef>
          </c:val>
        </c:ser>
        <c:ser>
          <c:idx val="1"/>
          <c:order val="1"/>
          <c:tx>
            <c:strRef>
              <c:f>Control!$A$7</c:f>
              <c:strCache>
                <c:ptCount val="1"/>
                <c:pt idx="0">
                  <c:v>Econ</c:v>
                </c:pt>
              </c:strCache>
            </c:strRef>
          </c:tx>
          <c:spPr>
            <a:ln w="38100">
              <a:solidFill>
                <a:srgbClr val="989232"/>
              </a:solidFill>
            </a:ln>
          </c:spPr>
          <c:marker>
            <c:symbol val="none"/>
          </c:marker>
          <c:dLbls>
            <c:dLbl>
              <c:idx val="25"/>
              <c:layout/>
              <c:showVal val="1"/>
              <c:extLst>
                <c:ext xmlns:c15="http://schemas.microsoft.com/office/drawing/2012/chart" uri="{CE6537A1-D6FC-4f65-9D91-7224C49458BB}"/>
              </c:extLst>
            </c:dLbl>
            <c:dLbl>
              <c:idx val="29"/>
              <c:layout>
                <c:manualLayout>
                  <c:x val="5.7603686635945422E-3"/>
                  <c:y val="-5.7803468208092484E-2"/>
                </c:manualLayout>
              </c:layout>
              <c:showVal val="1"/>
              <c:extLst>
                <c:ext xmlns:c15="http://schemas.microsoft.com/office/drawing/2012/chart" uri="{CE6537A1-D6FC-4f65-9D91-7224C49458BB}"/>
              </c:extLst>
            </c:dLbl>
            <c:dLbl>
              <c:idx val="40"/>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'PolicyScenario-1'!$AG$2:$AG$42</c:f>
              <c:numCache>
                <c:formatCode>0.00</c:formatCode>
                <c:ptCount val="41"/>
                <c:pt idx="0">
                  <c:v>2400</c:v>
                </c:pt>
                <c:pt idx="1">
                  <c:v>2417.0165126276456</c:v>
                </c:pt>
                <c:pt idx="2">
                  <c:v>2445.3906440569517</c:v>
                </c:pt>
                <c:pt idx="3">
                  <c:v>2485.2920742317092</c:v>
                </c:pt>
                <c:pt idx="4">
                  <c:v>2538.4699327969661</c:v>
                </c:pt>
                <c:pt idx="5">
                  <c:v>2607.4912394943012</c:v>
                </c:pt>
                <c:pt idx="6">
                  <c:v>2695.3564661969867</c:v>
                </c:pt>
                <c:pt idx="7">
                  <c:v>2805.5119121930675</c:v>
                </c:pt>
                <c:pt idx="8">
                  <c:v>2941.9060756167487</c:v>
                </c:pt>
                <c:pt idx="9">
                  <c:v>3109.1355758476502</c:v>
                </c:pt>
                <c:pt idx="10">
                  <c:v>3312.6304266330176</c:v>
                </c:pt>
                <c:pt idx="11">
                  <c:v>3566.6790012197098</c:v>
                </c:pt>
                <c:pt idx="12">
                  <c:v>3869.3619594894662</c:v>
                </c:pt>
                <c:pt idx="13">
                  <c:v>4225.6911474247554</c:v>
                </c:pt>
                <c:pt idx="14">
                  <c:v>4642.3865597944459</c:v>
                </c:pt>
                <c:pt idx="15">
                  <c:v>5126.4552879880375</c:v>
                </c:pt>
                <c:pt idx="16">
                  <c:v>5586.0428832220905</c:v>
                </c:pt>
                <c:pt idx="17">
                  <c:v>6080.7983805271397</c:v>
                </c:pt>
                <c:pt idx="18">
                  <c:v>6630.1997312160493</c:v>
                </c:pt>
                <c:pt idx="19">
                  <c:v>7232.0929695410996</c:v>
                </c:pt>
                <c:pt idx="20">
                  <c:v>7882.1482041556992</c:v>
                </c:pt>
                <c:pt idx="21">
                  <c:v>8573.5074597081802</c:v>
                </c:pt>
                <c:pt idx="22">
                  <c:v>9297.1928124560927</c:v>
                </c:pt>
                <c:pt idx="23">
                  <c:v>10042.959740372638</c:v>
                </c:pt>
                <c:pt idx="24">
                  <c:v>10799.761974369269</c:v>
                </c:pt>
                <c:pt idx="25">
                  <c:v>11556.500434926931</c:v>
                </c:pt>
                <c:pt idx="26">
                  <c:v>12302.952821162211</c:v>
                </c:pt>
                <c:pt idx="27">
                  <c:v>13029.828896759031</c:v>
                </c:pt>
                <c:pt idx="28">
                  <c:v>13728.84756034374</c:v>
                </c:pt>
                <c:pt idx="29">
                  <c:v>14393.368661996969</c:v>
                </c:pt>
                <c:pt idx="30">
                  <c:v>15018.500650153192</c:v>
                </c:pt>
                <c:pt idx="31">
                  <c:v>15602.183143308706</c:v>
                </c:pt>
                <c:pt idx="32">
                  <c:v>16144.008360723867</c:v>
                </c:pt>
                <c:pt idx="33">
                  <c:v>16643.875677315042</c:v>
                </c:pt>
                <c:pt idx="34">
                  <c:v>17102.637470243517</c:v>
                </c:pt>
                <c:pt idx="35">
                  <c:v>17521.680289543536</c:v>
                </c:pt>
                <c:pt idx="36">
                  <c:v>17903.802722372086</c:v>
                </c:pt>
                <c:pt idx="37">
                  <c:v>18252.252730237342</c:v>
                </c:pt>
                <c:pt idx="38">
                  <c:v>18569.545380559321</c:v>
                </c:pt>
                <c:pt idx="39">
                  <c:v>18858.205149277663</c:v>
                </c:pt>
                <c:pt idx="40">
                  <c:v>19537.09394922194</c:v>
                </c:pt>
              </c:numCache>
            </c:numRef>
          </c:val>
        </c:ser>
        <c:ser>
          <c:idx val="2"/>
          <c:order val="2"/>
          <c:tx>
            <c:strRef>
              <c:f>Control!$A$8</c:f>
              <c:strCache>
                <c:ptCount val="1"/>
                <c:pt idx="0">
                  <c:v>Econ + Ed</c:v>
                </c:pt>
              </c:strCache>
            </c:strRef>
          </c:tx>
          <c:spPr>
            <a:ln w="38100">
              <a:solidFill>
                <a:srgbClr val="C48726"/>
              </a:solidFill>
            </a:ln>
          </c:spPr>
          <c:marker>
            <c:symbol val="none"/>
          </c:marker>
          <c:dLbls>
            <c:dLbl>
              <c:idx val="25"/>
              <c:layout/>
              <c:showVal val="1"/>
              <c:extLst>
                <c:ext xmlns:c15="http://schemas.microsoft.com/office/drawing/2012/chart" uri="{CE6537A1-D6FC-4f65-9D91-7224C49458BB}"/>
              </c:extLst>
            </c:dLbl>
            <c:dLbl>
              <c:idx val="40"/>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'PolicyScenario-2'!$AF$2:$AF$42</c:f>
              <c:numCache>
                <c:formatCode>0.00</c:formatCode>
                <c:ptCount val="41"/>
                <c:pt idx="0">
                  <c:v>2399.9999999999973</c:v>
                </c:pt>
                <c:pt idx="1">
                  <c:v>2432.3659799846</c:v>
                </c:pt>
                <c:pt idx="2">
                  <c:v>2481.5104501715209</c:v>
                </c:pt>
                <c:pt idx="3">
                  <c:v>2544.2498144740607</c:v>
                </c:pt>
                <c:pt idx="4">
                  <c:v>2621.6658073441663</c:v>
                </c:pt>
                <c:pt idx="5">
                  <c:v>2716.5433544454172</c:v>
                </c:pt>
                <c:pt idx="6">
                  <c:v>2832.4282311321099</c:v>
                </c:pt>
                <c:pt idx="7">
                  <c:v>2973.5013976307878</c:v>
                </c:pt>
                <c:pt idx="8">
                  <c:v>3144.6251587331112</c:v>
                </c:pt>
                <c:pt idx="9">
                  <c:v>3352.8571828590998</c:v>
                </c:pt>
                <c:pt idx="10">
                  <c:v>3603.6256549332502</c:v>
                </c:pt>
                <c:pt idx="11">
                  <c:v>3914.3229354198047</c:v>
                </c:pt>
                <c:pt idx="12">
                  <c:v>4283.9751729388909</c:v>
                </c:pt>
                <c:pt idx="13">
                  <c:v>4719.7302193642145</c:v>
                </c:pt>
                <c:pt idx="14">
                  <c:v>5230.8978989922671</c:v>
                </c:pt>
                <c:pt idx="15">
                  <c:v>5712.7849643434511</c:v>
                </c:pt>
                <c:pt idx="16">
                  <c:v>6246.7751490470446</c:v>
                </c:pt>
                <c:pt idx="17">
                  <c:v>6849.9316015247014</c:v>
                </c:pt>
                <c:pt idx="18">
                  <c:v>7523.3727558422106</c:v>
                </c:pt>
                <c:pt idx="19">
                  <c:v>8265.8785620105191</c:v>
                </c:pt>
                <c:pt idx="20">
                  <c:v>9073.5825693706774</c:v>
                </c:pt>
                <c:pt idx="21">
                  <c:v>9939.4423963644804</c:v>
                </c:pt>
                <c:pt idx="22">
                  <c:v>10853.46159558101</c:v>
                </c:pt>
                <c:pt idx="23">
                  <c:v>11803.420290415732</c:v>
                </c:pt>
                <c:pt idx="24">
                  <c:v>12776.000799582329</c:v>
                </c:pt>
                <c:pt idx="25">
                  <c:v>13758.51256200313</c:v>
                </c:pt>
                <c:pt idx="26">
                  <c:v>14738.110459787662</c:v>
                </c:pt>
                <c:pt idx="27">
                  <c:v>15702.802548235171</c:v>
                </c:pt>
                <c:pt idx="28">
                  <c:v>16641.781773947594</c:v>
                </c:pt>
                <c:pt idx="29">
                  <c:v>17546.238660825686</c:v>
                </c:pt>
                <c:pt idx="30">
                  <c:v>18409.271172340596</c:v>
                </c:pt>
                <c:pt idx="31">
                  <c:v>19227.261134457101</c:v>
                </c:pt>
                <c:pt idx="32">
                  <c:v>19998.596620237506</c:v>
                </c:pt>
                <c:pt idx="33">
                  <c:v>20722.267777037076</c:v>
                </c:pt>
                <c:pt idx="34">
                  <c:v>21398.469123137209</c:v>
                </c:pt>
                <c:pt idx="35">
                  <c:v>22027.986558965516</c:v>
                </c:pt>
                <c:pt idx="36">
                  <c:v>22613.276026877902</c:v>
                </c:pt>
                <c:pt idx="37">
                  <c:v>23157.369405904639</c:v>
                </c:pt>
                <c:pt idx="38">
                  <c:v>23662.76912299476</c:v>
                </c:pt>
                <c:pt idx="39">
                  <c:v>24131.904714847384</c:v>
                </c:pt>
                <c:pt idx="40">
                  <c:v>25088.063008388352</c:v>
                </c:pt>
              </c:numCache>
            </c:numRef>
          </c:val>
        </c:ser>
        <c:ser>
          <c:idx val="3"/>
          <c:order val="3"/>
          <c:tx>
            <c:strRef>
              <c:f>Control!$A$9</c:f>
              <c:strCache>
                <c:ptCount val="1"/>
                <c:pt idx="0">
                  <c:v>Econ + Ed + Santé</c:v>
                </c:pt>
              </c:strCache>
            </c:strRef>
          </c:tx>
          <c:spPr>
            <a:ln w="38100">
              <a:solidFill>
                <a:srgbClr val="993129"/>
              </a:solidFill>
            </a:ln>
          </c:spPr>
          <c:marker>
            <c:symbol val="none"/>
          </c:marker>
          <c:dLbls>
            <c:dLbl>
              <c:idx val="0"/>
              <c:layout>
                <c:manualLayout>
                  <c:x val="-1.3186813186813201E-2"/>
                  <c:y val="-3.6308623298033284E-2"/>
                </c:manualLayout>
              </c:layout>
              <c:showVal val="1"/>
              <c:extLst>
                <c:ext xmlns:c15="http://schemas.microsoft.com/office/drawing/2012/chart" uri="{CE6537A1-D6FC-4f65-9D91-7224C49458BB}"/>
              </c:extLst>
            </c:dLbl>
            <c:dLbl>
              <c:idx val="25"/>
              <c:layout>
                <c:manualLayout>
                  <c:x val="-1.9201228878648387E-3"/>
                  <c:y val="-7.3859987154784854E-2"/>
                </c:manualLayout>
              </c:layout>
              <c:showVal val="1"/>
              <c:extLst>
                <c:ext xmlns:c15="http://schemas.microsoft.com/office/drawing/2012/chart" uri="{CE6537A1-D6FC-4f65-9D91-7224C49458BB}"/>
              </c:extLst>
            </c:dLbl>
            <c:dLbl>
              <c:idx val="40"/>
              <c:dLblPos val="r"/>
              <c:showVal val="1"/>
              <c:extLst>
                <c:ext xmlns:c15="http://schemas.microsoft.com/office/drawing/2012/chart" uri="{CE6537A1-D6FC-4f65-9D91-7224C49458BB}"/>
              </c:extLst>
            </c:dLbl>
            <c:delete val="1"/>
            <c:extLst>
              <c:ext xmlns:c15="http://schemas.microsoft.com/office/drawing/2012/chart" uri="{CE6537A1-D6FC-4f65-9D91-7224C49458BB}">
                <c15:showLeaderLines val="1"/>
              </c:ext>
            </c:extLst>
          </c:dLbls>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'PolicyScenario-3'!$AF$2:$AF$42</c:f>
              <c:numCache>
                <c:formatCode>0.00</c:formatCode>
                <c:ptCount val="41"/>
                <c:pt idx="0">
                  <c:v>2399.9999999999973</c:v>
                </c:pt>
                <c:pt idx="1">
                  <c:v>2433.7639835730852</c:v>
                </c:pt>
                <c:pt idx="2">
                  <c:v>2485.0001303754448</c:v>
                </c:pt>
                <c:pt idx="3">
                  <c:v>2550.3232233214762</c:v>
                </c:pt>
                <c:pt idx="4">
                  <c:v>2631.362123452971</c:v>
                </c:pt>
                <c:pt idx="5">
                  <c:v>2730.4530035466964</c:v>
                </c:pt>
                <c:pt idx="6">
                  <c:v>2851.3342376085402</c:v>
                </c:pt>
                <c:pt idx="7">
                  <c:v>2998.3831044620151</c:v>
                </c:pt>
                <c:pt idx="8">
                  <c:v>3176.7055447131147</c:v>
                </c:pt>
                <c:pt idx="9">
                  <c:v>3392.3425604582708</c:v>
                </c:pt>
                <c:pt idx="10">
                  <c:v>3652.5307837131268</c:v>
                </c:pt>
                <c:pt idx="11">
                  <c:v>3975.1048115899157</c:v>
                </c:pt>
                <c:pt idx="12">
                  <c:v>4359.5521895740867</c:v>
                </c:pt>
                <c:pt idx="13">
                  <c:v>4813.7308390390435</c:v>
                </c:pt>
                <c:pt idx="14">
                  <c:v>5347.8679466488848</c:v>
                </c:pt>
                <c:pt idx="15">
                  <c:v>5842.0302832307525</c:v>
                </c:pt>
                <c:pt idx="16">
                  <c:v>6402.2221939676283</c:v>
                </c:pt>
                <c:pt idx="17">
                  <c:v>7035.9431339293105</c:v>
                </c:pt>
                <c:pt idx="18">
                  <c:v>7744.6148755502654</c:v>
                </c:pt>
                <c:pt idx="19">
                  <c:v>8527.3780535527912</c:v>
                </c:pt>
                <c:pt idx="20">
                  <c:v>9380.8714517491499</c:v>
                </c:pt>
                <c:pt idx="21">
                  <c:v>10298.309037220983</c:v>
                </c:pt>
                <c:pt idx="22">
                  <c:v>11270.01765271723</c:v>
                </c:pt>
                <c:pt idx="23">
                  <c:v>12284.327658423181</c:v>
                </c:pt>
                <c:pt idx="24">
                  <c:v>13328.037713342794</c:v>
                </c:pt>
                <c:pt idx="25">
                  <c:v>14387.272474300094</c:v>
                </c:pt>
                <c:pt idx="26">
                  <c:v>15448.72520518543</c:v>
                </c:pt>
                <c:pt idx="27">
                  <c:v>16499.883366028404</c:v>
                </c:pt>
                <c:pt idx="28">
                  <c:v>17529.326952664545</c:v>
                </c:pt>
                <c:pt idx="29">
                  <c:v>18527.610725180097</c:v>
                </c:pt>
                <c:pt idx="30">
                  <c:v>19487.354035683915</c:v>
                </c:pt>
                <c:pt idx="31">
                  <c:v>20404.520176489816</c:v>
                </c:pt>
                <c:pt idx="32">
                  <c:v>21277.111607348452</c:v>
                </c:pt>
                <c:pt idx="33">
                  <c:v>22103.653895365533</c:v>
                </c:pt>
                <c:pt idx="34">
                  <c:v>22883.870372809852</c:v>
                </c:pt>
                <c:pt idx="35">
                  <c:v>23618.293269128746</c:v>
                </c:pt>
                <c:pt idx="36">
                  <c:v>24309.201514732598</c:v>
                </c:pt>
                <c:pt idx="37">
                  <c:v>24959.49368364337</c:v>
                </c:pt>
                <c:pt idx="38">
                  <c:v>25571.508080695821</c:v>
                </c:pt>
                <c:pt idx="39">
                  <c:v>26147.581150502519</c:v>
                </c:pt>
                <c:pt idx="40">
                  <c:v>27277.336058926656</c:v>
                </c:pt>
              </c:numCache>
            </c:numRef>
          </c:val>
        </c:ser>
        <c:marker val="1"/>
        <c:axId val="75078656"/>
        <c:axId val="75084544"/>
      </c:lineChart>
      <c:catAx>
        <c:axId val="75078656"/>
        <c:scaling>
          <c:orientation val="minMax"/>
        </c:scaling>
        <c:axPos val="b"/>
        <c:numFmt formatCode="General" sourceLinked="1"/>
        <c:tickLblPos val="nextTo"/>
        <c:crossAx val="75084544"/>
        <c:crosses val="autoZero"/>
        <c:auto val="1"/>
        <c:lblAlgn val="ctr"/>
        <c:lblOffset val="100"/>
        <c:tickLblSkip val="5"/>
      </c:catAx>
      <c:valAx>
        <c:axId val="75084544"/>
        <c:scaling>
          <c:orientation val="minMax"/>
          <c:max val="15000"/>
          <c:min val="0"/>
        </c:scaling>
        <c:axPos val="l"/>
        <c:majorGridlines/>
        <c:title>
          <c:tx>
            <c:rich>
              <a:bodyPr rot="-5400000" vert="horz"/>
              <a:lstStyle/>
              <a:p>
                <a:pPr>
                  <a:defRPr sz="800"/>
                </a:pPr>
                <a:r>
                  <a:rPr lang="en-US" sz="800"/>
                  <a:t>En dollars US</a:t>
                </a:r>
              </a:p>
            </c:rich>
          </c:tx>
          <c:layout>
            <c:manualLayout>
              <c:xMode val="edge"/>
              <c:yMode val="edge"/>
              <c:x val="8.8218139399241797E-3"/>
              <c:y val="0.44187229942337508"/>
            </c:manualLayout>
          </c:layout>
        </c:title>
        <c:numFmt formatCode="&quot;$&quot;#,##0" sourceLinked="0"/>
        <c:tickLblPos val="nextTo"/>
        <c:txPr>
          <a:bodyPr/>
          <a:lstStyle/>
          <a:p>
            <a:pPr>
              <a:defRPr sz="800"/>
            </a:pPr>
            <a:endParaRPr lang="fr-FR"/>
          </a:p>
        </c:txPr>
        <c:crossAx val="75078656"/>
        <c:crosses val="autoZero"/>
        <c:crossBetween val="between"/>
      </c:valAx>
    </c:plotArea>
    <c:legend>
      <c:legendPos val="b"/>
      <c:layout>
        <c:manualLayout>
          <c:xMode val="edge"/>
          <c:yMode val="edge"/>
          <c:x val="0.1639201322795992"/>
          <c:y val="0.91731782426660946"/>
          <c:w val="0.74251434877490941"/>
          <c:h val="5.0316757418323553E-2"/>
        </c:manualLayout>
      </c:layout>
    </c:legend>
    <c:plotVisOnly val="1"/>
    <c:dispBlanksAs val="gap"/>
  </c:chart>
  <c:spPr>
    <a:ln>
      <a:noFill/>
    </a:ln>
  </c:spPr>
  <c:txPr>
    <a:bodyPr/>
    <a:lstStyle/>
    <a:p>
      <a:pPr>
        <a:defRPr sz="1000">
          <a:latin typeface="Arial" panose="020B0604020202020204" pitchFamily="34" charset="0"/>
          <a:cs typeface="Arial" panose="020B0604020202020204" pitchFamily="34" charset="0"/>
        </a:defRPr>
      </a:pPr>
      <a:endParaRPr lang="fr-F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tx>
        <c:strRef>
          <c:f>Control!$A$9</c:f>
          <c:strCache>
            <c:ptCount val="1"/>
            <c:pt idx="0">
              <c:v>Econ + Ed + PF</c:v>
            </c:pt>
          </c:strCache>
        </c:strRef>
      </c:tx>
      <c:layout/>
      <c:txPr>
        <a:bodyPr/>
        <a:lstStyle/>
        <a:p>
          <a:pPr>
            <a:defRPr sz="800"/>
          </a:pPr>
          <a:endParaRPr lang="fr-FR"/>
        </a:p>
      </c:txPr>
    </c:title>
    <c:plotArea>
      <c:layout>
        <c:manualLayout>
          <c:layoutTarget val="inner"/>
          <c:xMode val="edge"/>
          <c:yMode val="edge"/>
          <c:x val="0.16478583005274491"/>
          <c:y val="0.19476851851851837"/>
          <c:w val="0.74878795854790781"/>
          <c:h val="0.53243474773986033"/>
        </c:manualLayout>
      </c:layout>
      <c:lineChart>
        <c:grouping val="standard"/>
        <c:ser>
          <c:idx val="0"/>
          <c:order val="0"/>
          <c:tx>
            <c:strRef>
              <c:f>'Base Scenario'!$Y$1</c:f>
              <c:strCache>
                <c:ptCount val="1"/>
                <c:pt idx="0">
                  <c:v>Employment</c:v>
                </c:pt>
              </c:strCache>
            </c:strRef>
          </c:tx>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'PolicyScenario-3'!$Y$2:$Y$42</c:f>
              <c:numCache>
                <c:formatCode>_(* #,##0_);_(* \(#,##0\);_(* "-"??_);_(@_)</c:formatCode>
                <c:ptCount val="41"/>
                <c:pt idx="0">
                  <c:v>8334809.5703125</c:v>
                </c:pt>
                <c:pt idx="1">
                  <c:v>8601423.9660748802</c:v>
                </c:pt>
                <c:pt idx="2">
                  <c:v>8929201.839467179</c:v>
                </c:pt>
                <c:pt idx="3">
                  <c:v>9294292.4747178052</c:v>
                </c:pt>
                <c:pt idx="4">
                  <c:v>9691448.8040717468</c:v>
                </c:pt>
                <c:pt idx="5">
                  <c:v>10124988.685362617</c:v>
                </c:pt>
                <c:pt idx="6">
                  <c:v>10600378.142076407</c:v>
                </c:pt>
                <c:pt idx="7">
                  <c:v>11122955.172365868</c:v>
                </c:pt>
                <c:pt idx="8">
                  <c:v>11697785.684584379</c:v>
                </c:pt>
                <c:pt idx="9">
                  <c:v>12330154.592635004</c:v>
                </c:pt>
                <c:pt idx="10">
                  <c:v>13026194.680815583</c:v>
                </c:pt>
                <c:pt idx="11">
                  <c:v>13839362.256950509</c:v>
                </c:pt>
                <c:pt idx="12">
                  <c:v>14719338.245898455</c:v>
                </c:pt>
                <c:pt idx="13">
                  <c:v>15657454.335817236</c:v>
                </c:pt>
                <c:pt idx="14">
                  <c:v>16653425.152009545</c:v>
                </c:pt>
                <c:pt idx="15">
                  <c:v>17156689.78515625</c:v>
                </c:pt>
                <c:pt idx="16">
                  <c:v>17656487.51953125</c:v>
                </c:pt>
                <c:pt idx="17">
                  <c:v>18169152.46093744</c:v>
                </c:pt>
                <c:pt idx="18">
                  <c:v>18693278.595703118</c:v>
                </c:pt>
                <c:pt idx="19">
                  <c:v>19228249.839843746</c:v>
                </c:pt>
                <c:pt idx="20">
                  <c:v>19774378.25</c:v>
                </c:pt>
                <c:pt idx="21">
                  <c:v>20331214.896484401</c:v>
                </c:pt>
                <c:pt idx="22">
                  <c:v>20898300.7265625</c:v>
                </c:pt>
                <c:pt idx="23">
                  <c:v>21475177.6484375</c:v>
                </c:pt>
                <c:pt idx="24">
                  <c:v>22061348.419921875</c:v>
                </c:pt>
                <c:pt idx="25">
                  <c:v>22656324.511718746</c:v>
                </c:pt>
                <c:pt idx="26">
                  <c:v>23260364.628906302</c:v>
                </c:pt>
                <c:pt idx="27">
                  <c:v>23873461.957031246</c:v>
                </c:pt>
                <c:pt idx="28">
                  <c:v>24494898.89453125</c:v>
                </c:pt>
                <c:pt idx="29">
                  <c:v>25124153.128906302</c:v>
                </c:pt>
                <c:pt idx="30">
                  <c:v>25760764.292968746</c:v>
                </c:pt>
                <c:pt idx="31">
                  <c:v>26405836.55859375</c:v>
                </c:pt>
                <c:pt idx="32">
                  <c:v>27060475.96875</c:v>
                </c:pt>
                <c:pt idx="33">
                  <c:v>27724499.6953125</c:v>
                </c:pt>
                <c:pt idx="34">
                  <c:v>28397637.96875</c:v>
                </c:pt>
                <c:pt idx="35">
                  <c:v>29079308.8203125</c:v>
                </c:pt>
                <c:pt idx="36">
                  <c:v>29770132.6953125</c:v>
                </c:pt>
                <c:pt idx="37">
                  <c:v>30470899.328125048</c:v>
                </c:pt>
                <c:pt idx="38">
                  <c:v>31181831.78124994</c:v>
                </c:pt>
                <c:pt idx="39">
                  <c:v>31903019.96093744</c:v>
                </c:pt>
                <c:pt idx="40">
                  <c:v>32696586.082031246</c:v>
                </c:pt>
              </c:numCache>
            </c:numRef>
          </c:val>
        </c:ser>
        <c:ser>
          <c:idx val="1"/>
          <c:order val="1"/>
          <c:tx>
            <c:strRef>
              <c:f>Population!$G$2</c:f>
              <c:strCache>
                <c:ptCount val="1"/>
                <c:pt idx="0">
                  <c:v>Population 15+</c:v>
                </c:pt>
              </c:strCache>
            </c:strRef>
          </c:tx>
          <c:marker>
            <c:symbol val="none"/>
          </c:marker>
          <c:cat>
            <c:numRef>
              <c:f>'Base Scenario'!$A$2:$A$42</c:f>
              <c:numCache>
                <c:formatCode>General</c:formatCode>
                <c:ptCount val="4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pt idx="26">
                  <c:v>2036</c:v>
                </c:pt>
                <c:pt idx="27">
                  <c:v>2037</c:v>
                </c:pt>
                <c:pt idx="28">
                  <c:v>2038</c:v>
                </c:pt>
                <c:pt idx="29">
                  <c:v>2039</c:v>
                </c:pt>
                <c:pt idx="30">
                  <c:v>2040</c:v>
                </c:pt>
                <c:pt idx="31">
                  <c:v>2041</c:v>
                </c:pt>
                <c:pt idx="32">
                  <c:v>2042</c:v>
                </c:pt>
                <c:pt idx="33">
                  <c:v>2043</c:v>
                </c:pt>
                <c:pt idx="34">
                  <c:v>2044</c:v>
                </c:pt>
                <c:pt idx="35">
                  <c:v>2045</c:v>
                </c:pt>
                <c:pt idx="36">
                  <c:v>2046</c:v>
                </c:pt>
                <c:pt idx="37">
                  <c:v>2047</c:v>
                </c:pt>
                <c:pt idx="38">
                  <c:v>2048</c:v>
                </c:pt>
                <c:pt idx="39">
                  <c:v>2049</c:v>
                </c:pt>
                <c:pt idx="40">
                  <c:v>2050</c:v>
                </c:pt>
              </c:numCache>
            </c:numRef>
          </c:cat>
          <c:val>
            <c:numRef>
              <c:f>Population!$I$4:$I$44</c:f>
              <c:numCache>
                <c:formatCode>#,##0</c:formatCode>
                <c:ptCount val="41"/>
                <c:pt idx="0">
                  <c:v>10940730.87890625</c:v>
                </c:pt>
                <c:pt idx="1">
                  <c:v>11283366.447265588</c:v>
                </c:pt>
                <c:pt idx="2">
                  <c:v>11631758.916015625</c:v>
                </c:pt>
                <c:pt idx="3">
                  <c:v>11987619.267578125</c:v>
                </c:pt>
                <c:pt idx="4">
                  <c:v>12351110.080078132</c:v>
                </c:pt>
                <c:pt idx="5">
                  <c:v>12726398.964843798</c:v>
                </c:pt>
                <c:pt idx="6">
                  <c:v>13114628.345703155</c:v>
                </c:pt>
                <c:pt idx="7">
                  <c:v>13515840.015625</c:v>
                </c:pt>
                <c:pt idx="8">
                  <c:v>13929407.91796875</c:v>
                </c:pt>
                <c:pt idx="9">
                  <c:v>14354739.080078132</c:v>
                </c:pt>
                <c:pt idx="10">
                  <c:v>14791789.798828125</c:v>
                </c:pt>
                <c:pt idx="11">
                  <c:v>15281342.8359375</c:v>
                </c:pt>
                <c:pt idx="12">
                  <c:v>15762313.796874972</c:v>
                </c:pt>
                <c:pt idx="13">
                  <c:v>16234873.11328125</c:v>
                </c:pt>
                <c:pt idx="14">
                  <c:v>16699357.03515625</c:v>
                </c:pt>
                <c:pt idx="15">
                  <c:v>17156689.78515625</c:v>
                </c:pt>
                <c:pt idx="16">
                  <c:v>17656487.51953125</c:v>
                </c:pt>
                <c:pt idx="17">
                  <c:v>18169152.46093744</c:v>
                </c:pt>
                <c:pt idx="18">
                  <c:v>18693278.595703118</c:v>
                </c:pt>
                <c:pt idx="19">
                  <c:v>19228249.839843746</c:v>
                </c:pt>
                <c:pt idx="20">
                  <c:v>19774378.25</c:v>
                </c:pt>
                <c:pt idx="21">
                  <c:v>20331214.896484401</c:v>
                </c:pt>
                <c:pt idx="22">
                  <c:v>20898300.7265625</c:v>
                </c:pt>
                <c:pt idx="23">
                  <c:v>21475177.6484375</c:v>
                </c:pt>
                <c:pt idx="24">
                  <c:v>22061348.419921875</c:v>
                </c:pt>
                <c:pt idx="25">
                  <c:v>22656324.511718746</c:v>
                </c:pt>
                <c:pt idx="26">
                  <c:v>23260364.628906302</c:v>
                </c:pt>
                <c:pt idx="27">
                  <c:v>23873461.957031246</c:v>
                </c:pt>
                <c:pt idx="28">
                  <c:v>24494898.89453125</c:v>
                </c:pt>
                <c:pt idx="29">
                  <c:v>25124153.128906302</c:v>
                </c:pt>
                <c:pt idx="30">
                  <c:v>25760764.292968746</c:v>
                </c:pt>
                <c:pt idx="31">
                  <c:v>26405836.55859375</c:v>
                </c:pt>
                <c:pt idx="32">
                  <c:v>27060475.96875</c:v>
                </c:pt>
                <c:pt idx="33">
                  <c:v>27724499.6953125</c:v>
                </c:pt>
                <c:pt idx="34">
                  <c:v>28397637.96875</c:v>
                </c:pt>
                <c:pt idx="35">
                  <c:v>29079308.8203125</c:v>
                </c:pt>
                <c:pt idx="36">
                  <c:v>29770132.6953125</c:v>
                </c:pt>
                <c:pt idx="37">
                  <c:v>30470899.328125048</c:v>
                </c:pt>
                <c:pt idx="38">
                  <c:v>31181831.78124994</c:v>
                </c:pt>
                <c:pt idx="39">
                  <c:v>31903019.96093744</c:v>
                </c:pt>
                <c:pt idx="40">
                  <c:v>32696586.082031246</c:v>
                </c:pt>
              </c:numCache>
            </c:numRef>
          </c:val>
        </c:ser>
        <c:marker val="1"/>
        <c:axId val="164016128"/>
        <c:axId val="164017664"/>
      </c:lineChart>
      <c:catAx>
        <c:axId val="164016128"/>
        <c:scaling>
          <c:orientation val="minMax"/>
        </c:scaling>
        <c:axPos val="b"/>
        <c:numFmt formatCode="General" sourceLinked="1"/>
        <c:tickLblPos val="nextTo"/>
        <c:txPr>
          <a:bodyPr/>
          <a:lstStyle/>
          <a:p>
            <a:pPr>
              <a:defRPr sz="800"/>
            </a:pPr>
            <a:endParaRPr lang="fr-FR"/>
          </a:p>
        </c:txPr>
        <c:crossAx val="164017664"/>
        <c:crosses val="autoZero"/>
        <c:auto val="1"/>
        <c:lblAlgn val="ctr"/>
        <c:lblOffset val="100"/>
      </c:catAx>
      <c:valAx>
        <c:axId val="164017664"/>
        <c:scaling>
          <c:orientation val="minMax"/>
          <c:max val="120000000"/>
        </c:scaling>
        <c:axPos val="l"/>
        <c:majorGridlines/>
        <c:numFmt formatCode="_(* #,##0_);_(* \(#,##0\);_(* &quot;-&quot;??_);_(@_)" sourceLinked="1"/>
        <c:tickLblPos val="nextTo"/>
        <c:txPr>
          <a:bodyPr/>
          <a:lstStyle/>
          <a:p>
            <a:pPr>
              <a:defRPr sz="800"/>
            </a:pPr>
            <a:endParaRPr lang="fr-FR"/>
          </a:p>
        </c:txPr>
        <c:crossAx val="164016128"/>
        <c:crosses val="autoZero"/>
        <c:crossBetween val="between"/>
        <c:dispUnits>
          <c:builtInUnit val="millions"/>
          <c:dispUnitsLbl>
            <c:layout/>
          </c:dispUnitsLbl>
        </c:dispUnits>
      </c:valAx>
    </c:plotArea>
    <c:legend>
      <c:legendPos val="b"/>
      <c:layout>
        <c:manualLayout>
          <c:xMode val="edge"/>
          <c:yMode val="edge"/>
          <c:x val="5.3756846145676884E-2"/>
          <c:y val="0.90645717012645632"/>
          <c:w val="0.8924859284207971"/>
          <c:h val="9.3542829873538541E-2"/>
        </c:manualLayout>
      </c:layout>
      <c:txPr>
        <a:bodyPr/>
        <a:lstStyle/>
        <a:p>
          <a:pPr>
            <a:defRPr sz="800"/>
          </a:pPr>
          <a:endParaRPr lang="fr-FR"/>
        </a:p>
      </c:txPr>
    </c:legend>
    <c:plotVisOnly val="1"/>
    <c:dispBlanksAs val="gap"/>
  </c:chart>
  <c:spPr>
    <a:ln>
      <a:noFill/>
    </a:ln>
  </c:spPr>
  <c:txPr>
    <a:bodyPr/>
    <a:lstStyle/>
    <a:p>
      <a:pPr>
        <a:defRPr>
          <a:latin typeface="Century Gothic" panose="020B0502020202020204" pitchFamily="34" charset="0"/>
        </a:defRPr>
      </a:pPr>
      <a:endParaRPr lang="fr-F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7E1D48-4FA1-4D95-8DFA-C4C16BCF3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70</Pages>
  <Words>18859</Words>
  <Characters>145579</Characters>
  <Application>Microsoft Office Word</Application>
  <DocSecurity>0</DocSecurity>
  <Lines>1213</Lines>
  <Paragraphs>328</Paragraphs>
  <ScaleCrop>false</ScaleCrop>
  <HeadingPairs>
    <vt:vector size="4" baseType="variant">
      <vt:variant>
        <vt:lpstr>Titre</vt:lpstr>
      </vt:variant>
      <vt:variant>
        <vt:i4>1</vt:i4>
      </vt:variant>
      <vt:variant>
        <vt:lpstr>Titres</vt:lpstr>
      </vt:variant>
      <vt:variant>
        <vt:i4>27</vt:i4>
      </vt:variant>
    </vt:vector>
  </HeadingPairs>
  <TitlesOfParts>
    <vt:vector size="28" baseType="lpstr">
      <vt:lpstr/>
      <vt:lpstr/>
      <vt:lpstr/>
      <vt:lpstr/>
      <vt:lpstr/>
      <vt:lpstr/>
      <vt:lpstr/>
      <vt:lpstr/>
      <vt:lpstr>Résumé</vt:lpstr>
      <vt:lpstr>Sommaire</vt:lpstr>
      <vt:lpstr/>
      <vt:lpstr>Liste des figures</vt:lpstr>
      <vt:lpstr>Liste des tableaux</vt:lpstr>
      <vt:lpstr>Liste des abréviations</vt:lpstr>
      <vt:lpstr>INTRODUCTION</vt:lpstr>
      <vt:lpstr>Contexte et justification</vt:lpstr>
      <vt:lpstr>Objectifs de l’étude</vt:lpstr>
      <vt:lpstr>Méthodologie</vt:lpstr>
      <vt:lpstr>    Modèle et estimation du dividende démographique</vt:lpstr>
      <vt:lpstr>    Limites du modèle DemDiv et de l’approche du Dividende démographique</vt:lpstr>
      <vt:lpstr>    3.3. Cadre d'analyse</vt:lpstr>
      <vt:lpstr>    Modèles d'analyse</vt:lpstr>
      <vt:lpstr>Analyse de la situation et hypothèses</vt:lpstr>
      <vt:lpstr>    Variables démographiques</vt:lpstr>
      <vt:lpstr>    4.2. Variables relatives à l'éducation</vt:lpstr>
      <vt:lpstr>    Variables relatives à la santé</vt:lpstr>
      <vt:lpstr>    Gouvernance</vt:lpstr>
      <vt:lpstr>    Hypothèses sur les variables de contrôle des sous-modèles</vt:lpstr>
    </vt:vector>
  </TitlesOfParts>
  <Company>Home</Company>
  <LinksUpToDate>false</LinksUpToDate>
  <CharactersWithSpaces>164110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BOUBA DJOURDEBBE FRANKLIN</dc:creator>
  <cp:lastModifiedBy>IFORD</cp:lastModifiedBy>
  <cp:revision>20</cp:revision>
  <dcterms:created xsi:type="dcterms:W3CDTF">2017-04-20T17:36:00Z</dcterms:created>
  <dcterms:modified xsi:type="dcterms:W3CDTF">2021-09-15T15:53:00Z</dcterms:modified>
</cp:coreProperties>
</file>