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5C" w:rsidRPr="00121C6E" w:rsidRDefault="00A7587E">
      <w:pPr>
        <w:spacing w:after="0"/>
        <w:ind w:left="9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40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134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ind w:left="10" w:right="2675" w:hanging="10"/>
        <w:jc w:val="right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i/>
          <w:sz w:val="40"/>
        </w:rPr>
        <w:t xml:space="preserve">AUDIT ET CONSEIL </w:t>
      </w:r>
    </w:p>
    <w:p w:rsidR="00E3345C" w:rsidRPr="00121C6E" w:rsidRDefault="00A7587E">
      <w:pPr>
        <w:spacing w:after="0"/>
        <w:ind w:right="1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i/>
          <w:sz w:val="40"/>
        </w:rPr>
        <w:t xml:space="preserve">EN </w:t>
      </w:r>
    </w:p>
    <w:p w:rsidR="00E3345C" w:rsidRPr="00121C6E" w:rsidRDefault="00A7587E">
      <w:pPr>
        <w:spacing w:after="0"/>
        <w:ind w:left="10" w:right="3325" w:hanging="10"/>
        <w:jc w:val="right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i/>
          <w:sz w:val="40"/>
        </w:rPr>
        <w:t xml:space="preserve">FORMATION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ind w:left="5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>
      <w:pPr>
        <w:spacing w:after="0"/>
        <w:ind w:left="5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>
      <w:pPr>
        <w:spacing w:after="0"/>
        <w:ind w:left="5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>
      <w:pPr>
        <w:spacing w:after="0"/>
        <w:ind w:left="5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>
      <w:pPr>
        <w:spacing w:after="128"/>
        <w:ind w:left="5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>
      <w:pPr>
        <w:spacing w:after="0"/>
        <w:ind w:left="3574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40"/>
        </w:rPr>
        <w:t xml:space="preserve">ANNEXES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 w:rsidP="00121C6E">
      <w:pPr>
        <w:pStyle w:val="Paragraphedeliste"/>
        <w:numPr>
          <w:ilvl w:val="0"/>
          <w:numId w:val="3"/>
        </w:num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LES ACTIVITES A AUDITER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121C6E" w:rsidRDefault="00A7587E" w:rsidP="00121C6E">
      <w:pPr>
        <w:pStyle w:val="Paragraphedeliste"/>
        <w:numPr>
          <w:ilvl w:val="0"/>
          <w:numId w:val="3"/>
        </w:numPr>
        <w:spacing w:after="0"/>
        <w:rPr>
          <w:rFonts w:ascii="Arial Rounded MT Bold" w:eastAsia="Times New Roman" w:hAnsi="Arial Rounded MT Bold" w:cs="Times New Roman"/>
          <w:b/>
          <w:sz w:val="24"/>
        </w:rPr>
      </w:pPr>
      <w:r w:rsidRPr="00121C6E">
        <w:rPr>
          <w:rFonts w:ascii="Arial Rounded MT Bold" w:eastAsia="Times New Roman" w:hAnsi="Arial Rounded MT Bold" w:cs="Times New Roman"/>
          <w:b/>
          <w:sz w:val="24"/>
        </w:rPr>
        <w:t xml:space="preserve">LES PRINCIPALES SOURCES DOCUMENTAIRES </w:t>
      </w:r>
    </w:p>
    <w:p w:rsidR="00E3345C" w:rsidRPr="00121C6E" w:rsidRDefault="00121C6E" w:rsidP="00121C6E">
      <w:pPr>
        <w:rPr>
          <w:rFonts w:ascii="Arial Rounded MT Bold" w:eastAsia="Times New Roman" w:hAnsi="Arial Rounded MT Bold" w:cs="Times New Roman"/>
          <w:b/>
          <w:sz w:val="24"/>
        </w:rPr>
      </w:pPr>
      <w:r>
        <w:rPr>
          <w:rFonts w:ascii="Arial Rounded MT Bold" w:eastAsia="Times New Roman" w:hAnsi="Arial Rounded MT Bold" w:cs="Times New Roman"/>
          <w:b/>
          <w:sz w:val="24"/>
        </w:rPr>
        <w:br w:type="page"/>
      </w:r>
    </w:p>
    <w:p w:rsidR="00E3345C" w:rsidRPr="00121C6E" w:rsidRDefault="00A7587E">
      <w:pPr>
        <w:pStyle w:val="Titre1"/>
        <w:ind w:right="4"/>
        <w:rPr>
          <w:rFonts w:ascii="Arial Rounded MT Bold" w:hAnsi="Arial Rounded MT Bold"/>
        </w:rPr>
      </w:pPr>
      <w:r w:rsidRPr="00121C6E">
        <w:rPr>
          <w:rFonts w:ascii="Arial Rounded MT Bold" w:hAnsi="Arial Rounded MT Bold"/>
        </w:rPr>
        <w:lastRenderedPageBreak/>
        <w:t xml:space="preserve">LES ACTIVITES A AUDITER </w:t>
      </w:r>
    </w:p>
    <w:p w:rsidR="00E3345C" w:rsidRPr="00121C6E" w:rsidRDefault="00A7587E">
      <w:pPr>
        <w:spacing w:after="0"/>
        <w:ind w:left="5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ind w:right="4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A partir de : PERETTI J M., VACHETTE, JL. (1987), </w:t>
      </w:r>
      <w:r w:rsidRPr="00121C6E">
        <w:rPr>
          <w:rFonts w:ascii="Arial Rounded MT Bold" w:eastAsia="Times New Roman" w:hAnsi="Arial Rounded MT Bold" w:cs="Times New Roman"/>
          <w:i/>
          <w:sz w:val="24"/>
        </w:rPr>
        <w:t>Audit Social</w:t>
      </w:r>
      <w:r w:rsidRPr="00121C6E">
        <w:rPr>
          <w:rFonts w:ascii="Arial Rounded MT Bold" w:eastAsia="Times New Roman" w:hAnsi="Arial Rounded MT Bold" w:cs="Times New Roman"/>
          <w:sz w:val="24"/>
        </w:rPr>
        <w:t xml:space="preserve">, 210p. </w:t>
      </w:r>
    </w:p>
    <w:p w:rsidR="00E3345C" w:rsidRPr="00121C6E" w:rsidRDefault="00A7587E">
      <w:pPr>
        <w:spacing w:after="0"/>
        <w:ind w:left="59"/>
        <w:jc w:val="center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34" w:line="240" w:lineRule="auto"/>
        <w:jc w:val="both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0"/>
        </w:rPr>
        <w:t>Nous vous proposons cette liste des activités possibles à auditer dans le cadre d'un audit social. Bien entendu, cette liste n'est pas exhaustive, notamment avec les évolutions socioprofessionnelles actuelles, mais elle doit permettre à la fois de recherch</w:t>
      </w:r>
      <w:r w:rsidRPr="00121C6E">
        <w:rPr>
          <w:rFonts w:ascii="Arial Rounded MT Bold" w:eastAsia="Times New Roman" w:hAnsi="Arial Rounded MT Bold" w:cs="Times New Roman"/>
          <w:sz w:val="20"/>
        </w:rPr>
        <w:t xml:space="preserve">er les différentes dimensions d'une mission d'audit et provoquer des liens entre ces activités et votre chantier – stage – mémoire, c'est à dire nous amener à rechercher ces différents éléments d'information.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tbl>
      <w:tblPr>
        <w:tblStyle w:val="TableGrid"/>
        <w:tblW w:w="9209" w:type="dxa"/>
        <w:tblInd w:w="-70" w:type="dxa"/>
        <w:tblCellMar>
          <w:top w:w="49" w:type="dxa"/>
          <w:left w:w="69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E3345C" w:rsidRPr="00121C6E" w:rsidTr="00121C6E">
        <w:trPr>
          <w:trHeight w:val="306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EMPLOI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Tenue des dossiers du personnel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Documents statistiques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Recours au travail temporaire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Appel aux entreprises extérieures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Utilisation des stagiaires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Place de l'apprentissage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Processus de recrutement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Gestion prévisionnelle de l'emploi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Suivi de la pyramide des âges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CDD/CDI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>Suivi des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départs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Processus de licenciement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Suivi des démissions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Procédure d'accueil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Politique de promotion </w:t>
            </w:r>
          </w:p>
          <w:p w:rsidR="00E3345C" w:rsidRPr="00121C6E" w:rsidRDefault="00A7587E">
            <w:pPr>
              <w:spacing w:after="0"/>
              <w:ind w:left="63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Gestion des carrières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Politique d'égalité professionnelle entre hommes et femmes </w:t>
            </w:r>
          </w:p>
          <w:p w:rsidR="00E3345C" w:rsidRPr="00121C6E" w:rsidRDefault="00A7587E">
            <w:pPr>
              <w:spacing w:after="0" w:line="240" w:lineRule="auto"/>
              <w:ind w:right="633"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Politique d'insertion des travailleurs handicapés Suivi de l'absentéisme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Programme de réduction de l'absentéisme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Politique de l'emploi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marché de l'emploi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concurrence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entretiens annuels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LA REMUNERATION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>Les qualifications et les classifica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tions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salaires par emploi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primes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L'individualisation des rémunérations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lastRenderedPageBreak/>
              <w:t xml:space="preserve">La pyramide des rémunérations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avantages sociaux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charges salariales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L'intéressement et la participation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système d'augmentation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négociations salariales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comparaisons externes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paie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documentation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déclarations obligatoires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lastRenderedPageBreak/>
              <w:t xml:space="preserve">L'HYGIENE ET SECURITE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gestion administrative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fonctionnement du CHSCT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budget sécurité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L'analyse des accidents du 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formations à la sécurité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relations avec la CRAM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politique de sécurité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AMELIORATIONS DES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CONDITIONS DE TRAVAIL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durée du 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congés payés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aménagements du temps de 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35 heures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négociations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suivi du temps de 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contenu du 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L'analyse des postes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expérimentations d'amélioration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politique d'ACT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L'information sur l'ACT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relations avec les institutions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LA FORMATION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budget formation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L'élaboration du plan de formation </w:t>
            </w:r>
          </w:p>
          <w:p w:rsidR="00E3345C" w:rsidRPr="00121C6E" w:rsidRDefault="00A7587E">
            <w:pPr>
              <w:spacing w:after="1" w:line="238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relations institutionnelles, avec le comité d'entreprise et les représentants syndicaux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suivi des actions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politique de formation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L'information sur la formation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lastRenderedPageBreak/>
              <w:t xml:space="preserve">Les bilans de compétences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L'apprentissage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congé individuel de formation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évaluations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suivi sur le poste de 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place de la hiérarchie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expérimentations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lastRenderedPageBreak/>
              <w:t xml:space="preserve">Les procédures d'inscription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documents d'inscriptions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LES RELATIONS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PROFESSIONNELLES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fonctionnement des instances représentatives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respect de la réglementation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politique de relations sociales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délégués du personnel </w:t>
            </w:r>
          </w:p>
          <w:p w:rsidR="00E3345C" w:rsidRPr="00121C6E" w:rsidRDefault="00A7587E">
            <w:pPr>
              <w:spacing w:after="2" w:line="237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comités d'établissement et d'entreprise </w:t>
            </w:r>
          </w:p>
          <w:p w:rsidR="00E3345C" w:rsidRPr="00121C6E" w:rsidRDefault="00121C6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>Les sections syndicales</w:t>
            </w:r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relations avec les organisations professionnelles patronales </w:t>
            </w:r>
          </w:p>
          <w:p w:rsidR="00E3345C" w:rsidRPr="00121C6E" w:rsidRDefault="00A7587E">
            <w:pPr>
              <w:spacing w:after="0" w:line="240" w:lineRule="auto"/>
              <w:ind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>Les relations avec l'insp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ection du 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gestion des conflits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L'INFORMATION ET LA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COMMUNICATION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L'information descendante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L'expression des salariés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groupes de travail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enquêtes d'opinion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L'encadrement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procédures d'accueil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politique de communication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climat social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entretiens individuels </w:t>
            </w:r>
          </w:p>
          <w:p w:rsidR="00E3345C" w:rsidRPr="00121C6E" w:rsidRDefault="00A7587E">
            <w:pPr>
              <w:spacing w:after="0" w:line="240" w:lineRule="auto"/>
              <w:ind w:right="55" w:firstLine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relations avec l'environnement, les établissements scolaires Les documents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ACTIVITES SOCIALES ET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CULTURELLES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lastRenderedPageBreak/>
              <w:t xml:space="preserve">Budget des œuvres sociales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Budget des comités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>Médecine du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travail, service social </w:t>
            </w:r>
          </w:p>
          <w:p w:rsidR="00E3345C" w:rsidRPr="00121C6E" w:rsidRDefault="00A7587E">
            <w:pPr>
              <w:spacing w:after="0"/>
              <w:ind w:left="62"/>
              <w:rPr>
                <w:rFonts w:ascii="Arial Rounded MT Bold" w:hAnsi="Arial Rounded MT Bold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politique sociale </w:t>
            </w:r>
          </w:p>
        </w:tc>
      </w:tr>
    </w:tbl>
    <w:p w:rsidR="00E3345C" w:rsidRPr="00121C6E" w:rsidRDefault="00A7587E">
      <w:pPr>
        <w:spacing w:after="3"/>
        <w:ind w:left="10" w:right="-13" w:hanging="10"/>
        <w:jc w:val="right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0"/>
        </w:rPr>
        <w:lastRenderedPageBreak/>
        <w:t xml:space="preserve">Thierry ARDOUIN </w:t>
      </w:r>
    </w:p>
    <w:p w:rsidR="00121C6E" w:rsidRDefault="00121C6E">
      <w:pPr>
        <w:rPr>
          <w:rFonts w:ascii="Arial Rounded MT Bold" w:eastAsia="Times New Roman" w:hAnsi="Arial Rounded MT Bold" w:cs="Times New Roman"/>
          <w:b/>
          <w:sz w:val="24"/>
        </w:rPr>
      </w:pPr>
      <w:r>
        <w:rPr>
          <w:rFonts w:ascii="Arial Rounded MT Bold" w:hAnsi="Arial Rounded MT Bold"/>
        </w:rPr>
        <w:br w:type="page"/>
      </w:r>
    </w:p>
    <w:p w:rsidR="00E3345C" w:rsidRPr="00121C6E" w:rsidRDefault="00A7587E">
      <w:pPr>
        <w:pStyle w:val="Titre1"/>
        <w:ind w:right="1"/>
        <w:rPr>
          <w:rFonts w:ascii="Arial Rounded MT Bold" w:hAnsi="Arial Rounded MT Bold"/>
        </w:rPr>
      </w:pPr>
      <w:r w:rsidRPr="00121C6E">
        <w:rPr>
          <w:rFonts w:ascii="Arial Rounded MT Bold" w:hAnsi="Arial Rounded MT Bold"/>
        </w:rPr>
        <w:lastRenderedPageBreak/>
        <w:t xml:space="preserve">LES PRINCIPALES SOURCES DOCUMENTAIRES POUR UN AUDIT DE FORMATION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 w:line="249" w:lineRule="auto"/>
        <w:ind w:left="-5" w:hanging="1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A partir de :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 w:rsidP="00121C6E">
      <w:pPr>
        <w:pStyle w:val="Paragraphedeliste"/>
        <w:numPr>
          <w:ilvl w:val="0"/>
          <w:numId w:val="4"/>
        </w:numPr>
        <w:spacing w:after="0" w:line="249" w:lineRule="auto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LE BOTERF G, DUPOUEY p, VIALLET F (1985), </w:t>
      </w:r>
      <w:r w:rsidRPr="00121C6E">
        <w:rPr>
          <w:rFonts w:ascii="Arial Rounded MT Bold" w:eastAsia="Times New Roman" w:hAnsi="Arial Rounded MT Bold" w:cs="Times New Roman"/>
          <w:i/>
          <w:sz w:val="24"/>
        </w:rPr>
        <w:t>L'audit de la formation professionnelle</w:t>
      </w:r>
      <w:r w:rsidRPr="00121C6E">
        <w:rPr>
          <w:rFonts w:ascii="Arial Rounded MT Bold" w:eastAsia="Times New Roman" w:hAnsi="Arial Rounded MT Bold" w:cs="Times New Roman"/>
          <w:sz w:val="24"/>
        </w:rPr>
        <w:t xml:space="preserve">, </w:t>
      </w:r>
      <w:r w:rsidRPr="00121C6E">
        <w:rPr>
          <w:rFonts w:ascii="Arial Rounded MT Bold" w:eastAsia="Times New Roman" w:hAnsi="Arial Rounded MT Bold" w:cs="Times New Roman"/>
          <w:sz w:val="24"/>
        </w:rPr>
        <w:t xml:space="preserve">Editions d'organisation, 193p. </w:t>
      </w:r>
    </w:p>
    <w:p w:rsidR="00E3345C" w:rsidRPr="00121C6E" w:rsidRDefault="00A7587E" w:rsidP="00121C6E">
      <w:pPr>
        <w:pStyle w:val="Paragraphedeliste"/>
        <w:numPr>
          <w:ilvl w:val="0"/>
          <w:numId w:val="4"/>
        </w:numPr>
        <w:spacing w:after="0" w:line="249" w:lineRule="auto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LE BOTERF Guy (1990), </w:t>
      </w:r>
      <w:r w:rsidRPr="00121C6E">
        <w:rPr>
          <w:rFonts w:ascii="Arial Rounded MT Bold" w:eastAsia="Times New Roman" w:hAnsi="Arial Rounded MT Bold" w:cs="Times New Roman"/>
          <w:i/>
          <w:sz w:val="24"/>
        </w:rPr>
        <w:t>L'ingénierie et l'évaluation de la formation</w:t>
      </w:r>
      <w:r w:rsidRPr="00121C6E">
        <w:rPr>
          <w:rFonts w:ascii="Arial Rounded MT Bold" w:eastAsia="Times New Roman" w:hAnsi="Arial Rounded MT Bold" w:cs="Times New Roman"/>
          <w:sz w:val="24"/>
        </w:rPr>
        <w:t xml:space="preserve">, Editions d'organisation, 172p.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0" w:line="249" w:lineRule="auto"/>
        <w:ind w:left="-5" w:hanging="1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>L'analyse documentaire constitue un des instruments de l'audit de formation. Parmi les documents pouvant être source d'inf</w:t>
      </w:r>
      <w:r w:rsidRPr="00121C6E">
        <w:rPr>
          <w:rFonts w:ascii="Arial Rounded MT Bold" w:eastAsia="Times New Roman" w:hAnsi="Arial Rounded MT Bold" w:cs="Times New Roman"/>
          <w:sz w:val="24"/>
        </w:rPr>
        <w:t xml:space="preserve">ormations importantes et donc à analyser, nous avons : </w:t>
      </w:r>
    </w:p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p w:rsidR="00E3345C" w:rsidRPr="00121C6E" w:rsidRDefault="00A7587E">
      <w:pPr>
        <w:spacing w:after="3"/>
        <w:ind w:left="10" w:right="-13" w:hanging="10"/>
        <w:jc w:val="right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0"/>
        </w:rPr>
        <w:t>Liste non limitative</w:t>
      </w: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tbl>
      <w:tblPr>
        <w:tblStyle w:val="TableGrid"/>
        <w:tblW w:w="11199" w:type="dxa"/>
        <w:tblInd w:w="-998" w:type="dxa"/>
        <w:tblCellMar>
          <w:top w:w="58" w:type="dxa"/>
          <w:left w:w="69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828"/>
        <w:gridCol w:w="3686"/>
        <w:gridCol w:w="3685"/>
      </w:tblGrid>
      <w:tr w:rsidR="00E3345C" w:rsidRPr="00121C6E" w:rsidTr="002368CC">
        <w:trPr>
          <w:trHeight w:val="8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>
            <w:pPr>
              <w:spacing w:after="0"/>
              <w:ind w:left="5"/>
              <w:jc w:val="both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Les documents d'orientation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>
            <w:pPr>
              <w:spacing w:after="0"/>
              <w:jc w:val="center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Les documents relatifs à la gestion des emplois et des ressources humaines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>
            <w:pPr>
              <w:spacing w:after="0"/>
              <w:jc w:val="center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Les documents liés à la formation </w:t>
            </w:r>
          </w:p>
        </w:tc>
      </w:tr>
      <w:tr w:rsidR="00E3345C" w:rsidRPr="00121C6E" w:rsidTr="002368CC">
        <w:trPr>
          <w:trHeight w:val="7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 w:rsidP="00121C6E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projet d'entreprise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projets d'investissements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projets d'organisation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projets sectoriels </w:t>
            </w:r>
          </w:p>
          <w:p w:rsidR="00121C6E" w:rsidRPr="00121C6E" w:rsidRDefault="00A7587E" w:rsidP="00121C6E">
            <w:pPr>
              <w:pStyle w:val="Paragraphedeliste"/>
              <w:numPr>
                <w:ilvl w:val="0"/>
                <w:numId w:val="5"/>
              </w:numPr>
              <w:spacing w:after="6" w:line="234" w:lineRule="auto"/>
              <w:ind w:right="455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organigrammes </w:t>
            </w:r>
          </w:p>
          <w:p w:rsidR="00121C6E" w:rsidRPr="00121C6E" w:rsidRDefault="00A7587E" w:rsidP="00121C6E">
            <w:pPr>
              <w:pStyle w:val="Paragraphedeliste"/>
              <w:numPr>
                <w:ilvl w:val="0"/>
                <w:numId w:val="5"/>
              </w:numPr>
              <w:spacing w:after="6" w:line="234" w:lineRule="auto"/>
              <w:ind w:right="455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rapports des Conseils d'administration </w:t>
            </w:r>
          </w:p>
          <w:p w:rsidR="00121C6E" w:rsidRPr="00121C6E" w:rsidRDefault="00121C6E" w:rsidP="00121C6E">
            <w:pPr>
              <w:pStyle w:val="Paragraphedeliste"/>
              <w:numPr>
                <w:ilvl w:val="0"/>
                <w:numId w:val="5"/>
              </w:numPr>
              <w:spacing w:after="6" w:line="234" w:lineRule="auto"/>
              <w:ind w:right="455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 xml:space="preserve">Les plans annuels de la </w:t>
            </w:r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formation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délibérations des comités </w:t>
            </w:r>
          </w:p>
          <w:p w:rsidR="00E3345C" w:rsidRPr="00121C6E" w:rsidRDefault="00121C6E">
            <w:pPr>
              <w:spacing w:after="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 xml:space="preserve">              </w:t>
            </w:r>
            <w:proofErr w:type="gramStart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>d'entreprise</w:t>
            </w:r>
            <w:proofErr w:type="gramEnd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plaquettes et catalogues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journal d'entreprise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publications syndicales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bilans statistiques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bilans sociaux </w:t>
            </w:r>
          </w:p>
          <w:p w:rsidR="00121C6E" w:rsidRPr="00121C6E" w:rsidRDefault="00121C6E" w:rsidP="00121C6E">
            <w:pPr>
              <w:pStyle w:val="Paragraphedeliste"/>
              <w:numPr>
                <w:ilvl w:val="0"/>
                <w:numId w:val="6"/>
              </w:numPr>
              <w:spacing w:after="3" w:line="235" w:lineRule="auto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>Les conventions collectives</w:t>
            </w:r>
          </w:p>
          <w:p w:rsidR="00121C6E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3" w:line="235" w:lineRule="auto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 schéma directeur </w:t>
            </w:r>
            <w:r w:rsidR="00121C6E" w:rsidRPr="00121C6E">
              <w:rPr>
                <w:rFonts w:ascii="Arial Rounded MT Bold" w:eastAsia="Times New Roman" w:hAnsi="Arial Rounded MT Bold" w:cs="Times New Roman"/>
                <w:sz w:val="20"/>
              </w:rPr>
              <w:t>des emplois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>, des ressour</w:t>
            </w:r>
            <w:r w:rsidR="00121C6E">
              <w:rPr>
                <w:rFonts w:ascii="Arial Rounded MT Bold" w:eastAsia="Times New Roman" w:hAnsi="Arial Rounded MT Bold" w:cs="Times New Roman"/>
                <w:sz w:val="20"/>
              </w:rPr>
              <w:t>ces humaines et de la formation</w:t>
            </w:r>
          </w:p>
          <w:p w:rsidR="00121C6E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3" w:line="235" w:lineRule="auto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>Les documents d'analyse des emplois et de ges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tion prévisionnelle des emplois et </w:t>
            </w: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des compétences </w:t>
            </w:r>
          </w:p>
          <w:p w:rsidR="00121C6E" w:rsidRPr="00121C6E" w:rsidRDefault="00121C6E" w:rsidP="00121C6E">
            <w:pPr>
              <w:pStyle w:val="Paragraphedeliste"/>
              <w:numPr>
                <w:ilvl w:val="0"/>
                <w:numId w:val="6"/>
              </w:numPr>
              <w:spacing w:after="3" w:line="235" w:lineRule="auto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>Les descriptions de postes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6"/>
              </w:numPr>
              <w:spacing w:after="3" w:line="235" w:lineRule="auto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La cartographie des emplois </w:t>
            </w:r>
          </w:p>
          <w:p w:rsidR="00E3345C" w:rsidRPr="00121C6E" w:rsidRDefault="00121C6E">
            <w:pPr>
              <w:spacing w:after="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 xml:space="preserve">              </w:t>
            </w:r>
            <w:proofErr w:type="gramStart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>et</w:t>
            </w:r>
            <w:proofErr w:type="gramEnd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des postes </w:t>
            </w:r>
          </w:p>
          <w:p w:rsidR="004F774F" w:rsidRPr="004F774F" w:rsidRDefault="00A7587E" w:rsidP="00121C6E">
            <w:pPr>
              <w:pStyle w:val="Paragraphedeliste"/>
              <w:numPr>
                <w:ilvl w:val="0"/>
                <w:numId w:val="7"/>
              </w:numPr>
              <w:spacing w:after="5" w:line="234" w:lineRule="auto"/>
              <w:ind w:right="7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référentiels d'emploi </w:t>
            </w:r>
          </w:p>
          <w:p w:rsidR="00E3345C" w:rsidRPr="00121C6E" w:rsidRDefault="00A7587E" w:rsidP="00121C6E">
            <w:pPr>
              <w:pStyle w:val="Paragraphedeliste"/>
              <w:numPr>
                <w:ilvl w:val="0"/>
                <w:numId w:val="7"/>
              </w:numPr>
              <w:spacing w:after="5" w:line="234" w:lineRule="auto"/>
              <w:ind w:right="7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Les pyramides des âges, de répartition homme-femme, </w:t>
            </w:r>
          </w:p>
          <w:p w:rsidR="00E3345C" w:rsidRPr="00121C6E" w:rsidRDefault="004F774F">
            <w:pPr>
              <w:spacing w:after="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 xml:space="preserve">               </w:t>
            </w:r>
            <w:proofErr w:type="gramStart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>des</w:t>
            </w:r>
            <w:proofErr w:type="gramEnd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salaires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0"/>
              <w:ind w:left="782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plans annuels de la </w:t>
            </w:r>
          </w:p>
          <w:p w:rsidR="00E3345C" w:rsidRPr="00121C6E" w:rsidRDefault="002368CC">
            <w:pPr>
              <w:spacing w:after="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 xml:space="preserve">              </w:t>
            </w:r>
            <w:proofErr w:type="gramStart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>formation</w:t>
            </w:r>
            <w:proofErr w:type="gramEnd"/>
            <w:r w:rsidR="00A7587E"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2368CC" w:rsidRPr="002368CC" w:rsidRDefault="002368CC" w:rsidP="002368CC">
            <w:pPr>
              <w:pStyle w:val="Paragraphedeliste"/>
              <w:numPr>
                <w:ilvl w:val="0"/>
                <w:numId w:val="8"/>
              </w:numPr>
              <w:spacing w:after="5" w:line="234" w:lineRule="auto"/>
              <w:ind w:left="499" w:right="642" w:hanging="139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  <w:r w:rsidR="00A7587E" w:rsidRPr="002368CC">
              <w:rPr>
                <w:rFonts w:ascii="Arial Rounded MT Bold" w:eastAsia="Times New Roman" w:hAnsi="Arial Rounded MT Bold" w:cs="Times New Roman"/>
                <w:sz w:val="20"/>
              </w:rPr>
              <w:t>Les audits de formation</w:t>
            </w:r>
          </w:p>
          <w:p w:rsidR="002368C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5" w:line="234" w:lineRule="auto"/>
              <w:ind w:right="642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>Les rapp</w:t>
            </w:r>
            <w:r w:rsidR="002368CC">
              <w:rPr>
                <w:rFonts w:ascii="Arial Rounded MT Bold" w:eastAsia="Times New Roman" w:hAnsi="Arial Rounded MT Bold" w:cs="Times New Roman"/>
                <w:sz w:val="20"/>
              </w:rPr>
              <w:t>orts de la commission formation</w:t>
            </w:r>
          </w:p>
          <w:p w:rsidR="002368C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5" w:line="234" w:lineRule="auto"/>
              <w:ind w:right="642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L'organigramme de la fonction formation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5" w:line="234" w:lineRule="auto"/>
              <w:ind w:right="642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procédures d'appel d'offre et de cahier des </w:t>
            </w: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charges </w:t>
            </w:r>
          </w:p>
          <w:p w:rsidR="002368C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6" w:line="235" w:lineRule="auto"/>
              <w:ind w:right="470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 budget formation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6" w:line="235" w:lineRule="auto"/>
              <w:ind w:right="470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engagements de développement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6" w:line="234" w:lineRule="auto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>Les catalogues de formation</w:t>
            </w:r>
            <w:r w:rsidRPr="002368CC">
              <w:rPr>
                <w:rFonts w:ascii="Arial Rounded MT Bold" w:eastAsia="Times New Roman" w:hAnsi="Arial Rounded MT Bold" w:cs="Times New Roman"/>
                <w:b/>
                <w:sz w:val="20"/>
              </w:rPr>
              <w:t xml:space="preserve"> </w:t>
            </w: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>L</w:t>
            </w: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es dossiers individuels d'inscription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historiques de formation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tableaux de bord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programmes de stage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évaluations </w:t>
            </w: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individuelles, collectives, des </w:t>
            </w: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formateurs </w:t>
            </w:r>
          </w:p>
          <w:p w:rsidR="002368CC" w:rsidRPr="002368CC" w:rsidRDefault="002368CC" w:rsidP="002368CC">
            <w:pPr>
              <w:pStyle w:val="Paragraphedeliste"/>
              <w:numPr>
                <w:ilvl w:val="0"/>
                <w:numId w:val="8"/>
              </w:numPr>
              <w:spacing w:after="6" w:line="235" w:lineRule="auto"/>
              <w:ind w:right="29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</w:rPr>
              <w:t>Les rapports d'évaluation</w:t>
            </w:r>
          </w:p>
          <w:p w:rsidR="002368C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6" w:line="235" w:lineRule="auto"/>
              <w:ind w:right="29"/>
              <w:rPr>
                <w:rFonts w:ascii="Arial Rounded MT Bold" w:hAnsi="Arial Rounded MT Bold"/>
                <w:sz w:val="20"/>
              </w:rPr>
            </w:pP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Les référentiels de compétences, </w:t>
            </w:r>
          </w:p>
          <w:p w:rsidR="00E3345C" w:rsidRPr="002368CC" w:rsidRDefault="00A7587E" w:rsidP="002368CC">
            <w:pPr>
              <w:pStyle w:val="Paragraphedeliste"/>
              <w:numPr>
                <w:ilvl w:val="0"/>
                <w:numId w:val="8"/>
              </w:numPr>
              <w:spacing w:after="6" w:line="235" w:lineRule="auto"/>
              <w:ind w:right="29"/>
              <w:rPr>
                <w:rFonts w:ascii="Arial Rounded MT Bold" w:hAnsi="Arial Rounded MT Bold"/>
                <w:sz w:val="20"/>
              </w:rPr>
            </w:pPr>
            <w:bookmarkStart w:id="0" w:name="_GoBack"/>
            <w:bookmarkEnd w:id="0"/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>Les référentiels d</w:t>
            </w:r>
            <w:r w:rsidRPr="002368CC">
              <w:rPr>
                <w:rFonts w:ascii="Arial Rounded MT Bold" w:eastAsia="Times New Roman" w:hAnsi="Arial Rounded MT Bold" w:cs="Times New Roman"/>
                <w:sz w:val="20"/>
              </w:rPr>
              <w:t xml:space="preserve">e formation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  <w:p w:rsidR="00E3345C" w:rsidRPr="00121C6E" w:rsidRDefault="00A7587E">
            <w:pPr>
              <w:spacing w:after="0"/>
              <w:rPr>
                <w:rFonts w:ascii="Arial Rounded MT Bold" w:hAnsi="Arial Rounded MT Bold"/>
                <w:sz w:val="20"/>
              </w:rPr>
            </w:pPr>
            <w:r w:rsidRPr="00121C6E">
              <w:rPr>
                <w:rFonts w:ascii="Arial Rounded MT Bold" w:eastAsia="Times New Roman" w:hAnsi="Arial Rounded MT Bold" w:cs="Times New Roman"/>
                <w:sz w:val="20"/>
              </w:rPr>
              <w:t xml:space="preserve"> </w:t>
            </w:r>
          </w:p>
        </w:tc>
      </w:tr>
    </w:tbl>
    <w:p w:rsidR="00E3345C" w:rsidRPr="00121C6E" w:rsidRDefault="00A7587E">
      <w:pPr>
        <w:spacing w:after="0"/>
        <w:rPr>
          <w:rFonts w:ascii="Arial Rounded MT Bold" w:hAnsi="Arial Rounded MT Bold"/>
        </w:rPr>
      </w:pPr>
      <w:r w:rsidRPr="00121C6E">
        <w:rPr>
          <w:rFonts w:ascii="Arial Rounded MT Bold" w:eastAsia="Times New Roman" w:hAnsi="Arial Rounded MT Bold" w:cs="Times New Roman"/>
          <w:sz w:val="24"/>
        </w:rPr>
        <w:t xml:space="preserve"> </w:t>
      </w:r>
    </w:p>
    <w:sectPr w:rsidR="00E3345C" w:rsidRPr="00121C6E">
      <w:footerReference w:type="even" r:id="rId7"/>
      <w:footerReference w:type="default" r:id="rId8"/>
      <w:footerReference w:type="first" r:id="rId9"/>
      <w:pgSz w:w="11900" w:h="16840"/>
      <w:pgMar w:top="1470" w:right="1410" w:bottom="1563" w:left="1417" w:header="720" w:footer="728" w:gutter="0"/>
      <w:pgNumType w:start="1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7E" w:rsidRDefault="00A7587E">
      <w:pPr>
        <w:spacing w:after="0" w:line="240" w:lineRule="auto"/>
      </w:pPr>
      <w:r>
        <w:separator/>
      </w:r>
    </w:p>
  </w:endnote>
  <w:endnote w:type="continuationSeparator" w:id="0">
    <w:p w:rsidR="00A7587E" w:rsidRDefault="00A7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5C" w:rsidRDefault="00A7587E">
    <w:pPr>
      <w:tabs>
        <w:tab w:val="right" w:pos="9074"/>
      </w:tabs>
      <w:spacing w:after="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9860788</wp:posOffset>
              </wp:positionV>
              <wp:extent cx="5847588" cy="9144"/>
              <wp:effectExtent l="0" t="0" r="0" b="0"/>
              <wp:wrapSquare wrapText="bothSides"/>
              <wp:docPr id="6777" name="Group 6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588" cy="9144"/>
                        <a:chOff x="0" y="0"/>
                        <a:chExt cx="5847588" cy="9144"/>
                      </a:xfrm>
                    </wpg:grpSpPr>
                    <wps:wsp>
                      <wps:cNvPr id="7176" name="Shape 7176"/>
                      <wps:cNvSpPr/>
                      <wps:spPr>
                        <a:xfrm>
                          <a:off x="0" y="0"/>
                          <a:ext cx="1124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4712" h="9144">
                              <a:moveTo>
                                <a:pt x="0" y="0"/>
                              </a:moveTo>
                              <a:lnTo>
                                <a:pt x="1124712" y="0"/>
                              </a:lnTo>
                              <a:lnTo>
                                <a:pt x="1124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7" name="Shape 7177"/>
                      <wps:cNvSpPr/>
                      <wps:spPr>
                        <a:xfrm>
                          <a:off x="11247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8" name="Shape 7178"/>
                      <wps:cNvSpPr/>
                      <wps:spPr>
                        <a:xfrm>
                          <a:off x="1133856" y="0"/>
                          <a:ext cx="4713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3732" h="9144">
                              <a:moveTo>
                                <a:pt x="0" y="0"/>
                              </a:moveTo>
                              <a:lnTo>
                                <a:pt x="4713732" y="0"/>
                              </a:lnTo>
                              <a:lnTo>
                                <a:pt x="4713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77" style="width:460.44pt;height:0.720032pt;position:absolute;mso-position-horizontal-relative:page;mso-position-horizontal:absolute;margin-left:67pt;mso-position-vertical-relative:page;margin-top:776.44pt;" coordsize="58475,91">
              <v:shape id="Shape 7179" style="position:absolute;width:11247;height:91;left:0;top:0;" coordsize="1124712,9144" path="m0,0l1124712,0l1124712,9144l0,9144l0,0">
                <v:stroke weight="0pt" endcap="flat" joinstyle="miter" miterlimit="10" on="false" color="#000000" opacity="0"/>
                <v:fill on="true" color="#000000"/>
              </v:shape>
              <v:shape id="Shape 7180" style="position:absolute;width:91;height:91;left:1124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181" style="position:absolute;width:47137;height:91;left:11338;top:0;" coordsize="4713732,9144" path="m0,0l4713732,0l471373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16"/>
      </w:rPr>
      <w:t xml:space="preserve">7507 T </w:t>
    </w:r>
    <w:r>
      <w:rPr>
        <w:rFonts w:ascii="Times New Roman" w:eastAsia="Times New Roman" w:hAnsi="Times New Roman" w:cs="Times New Roman"/>
        <w:i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123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3345C" w:rsidRDefault="00A7587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5C" w:rsidRDefault="00A7587E">
    <w:pPr>
      <w:tabs>
        <w:tab w:val="right" w:pos="9074"/>
      </w:tabs>
      <w:spacing w:after="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9860788</wp:posOffset>
              </wp:positionV>
              <wp:extent cx="5847588" cy="9144"/>
              <wp:effectExtent l="0" t="0" r="0" b="0"/>
              <wp:wrapSquare wrapText="bothSides"/>
              <wp:docPr id="6760" name="Group 6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588" cy="9144"/>
                        <a:chOff x="0" y="0"/>
                        <a:chExt cx="5847588" cy="9144"/>
                      </a:xfrm>
                    </wpg:grpSpPr>
                    <wps:wsp>
                      <wps:cNvPr id="7170" name="Shape 7170"/>
                      <wps:cNvSpPr/>
                      <wps:spPr>
                        <a:xfrm>
                          <a:off x="0" y="0"/>
                          <a:ext cx="1124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4712" h="9144">
                              <a:moveTo>
                                <a:pt x="0" y="0"/>
                              </a:moveTo>
                              <a:lnTo>
                                <a:pt x="1124712" y="0"/>
                              </a:lnTo>
                              <a:lnTo>
                                <a:pt x="1124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11247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2" name="Shape 7172"/>
                      <wps:cNvSpPr/>
                      <wps:spPr>
                        <a:xfrm>
                          <a:off x="1133856" y="0"/>
                          <a:ext cx="4713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3732" h="9144">
                              <a:moveTo>
                                <a:pt x="0" y="0"/>
                              </a:moveTo>
                              <a:lnTo>
                                <a:pt x="4713732" y="0"/>
                              </a:lnTo>
                              <a:lnTo>
                                <a:pt x="4713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60" style="width:460.44pt;height:0.720032pt;position:absolute;mso-position-horizontal-relative:page;mso-position-horizontal:absolute;margin-left:67pt;mso-position-vertical-relative:page;margin-top:776.44pt;" coordsize="58475,91">
              <v:shape id="Shape 7173" style="position:absolute;width:11247;height:91;left:0;top:0;" coordsize="1124712,9144" path="m0,0l1124712,0l1124712,9144l0,9144l0,0">
                <v:stroke weight="0pt" endcap="flat" joinstyle="miter" miterlimit="10" on="false" color="#000000" opacity="0"/>
                <v:fill on="true" color="#000000"/>
              </v:shape>
              <v:shape id="Shape 7174" style="position:absolute;width:91;height:91;left:1124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175" style="position:absolute;width:47137;height:91;left:11338;top:0;" coordsize="4713732,9144" path="m0,0l4713732,0l471373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E3345C" w:rsidRDefault="00A7587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5C" w:rsidRDefault="00A7587E">
    <w:pPr>
      <w:tabs>
        <w:tab w:val="right" w:pos="9074"/>
      </w:tabs>
      <w:spacing w:after="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9860788</wp:posOffset>
              </wp:positionV>
              <wp:extent cx="5847588" cy="9144"/>
              <wp:effectExtent l="0" t="0" r="0" b="0"/>
              <wp:wrapSquare wrapText="bothSides"/>
              <wp:docPr id="6743" name="Group 6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588" cy="9144"/>
                        <a:chOff x="0" y="0"/>
                        <a:chExt cx="5847588" cy="9144"/>
                      </a:xfrm>
                    </wpg:grpSpPr>
                    <wps:wsp>
                      <wps:cNvPr id="7164" name="Shape 7164"/>
                      <wps:cNvSpPr/>
                      <wps:spPr>
                        <a:xfrm>
                          <a:off x="0" y="0"/>
                          <a:ext cx="1124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4712" h="9144">
                              <a:moveTo>
                                <a:pt x="0" y="0"/>
                              </a:moveTo>
                              <a:lnTo>
                                <a:pt x="1124712" y="0"/>
                              </a:lnTo>
                              <a:lnTo>
                                <a:pt x="1124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11247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6" name="Shape 7166"/>
                      <wps:cNvSpPr/>
                      <wps:spPr>
                        <a:xfrm>
                          <a:off x="1133856" y="0"/>
                          <a:ext cx="4713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3732" h="9144">
                              <a:moveTo>
                                <a:pt x="0" y="0"/>
                              </a:moveTo>
                              <a:lnTo>
                                <a:pt x="4713732" y="0"/>
                              </a:lnTo>
                              <a:lnTo>
                                <a:pt x="4713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43" style="width:460.44pt;height:0.720032pt;position:absolute;mso-position-horizontal-relative:page;mso-position-horizontal:absolute;margin-left:67pt;mso-position-vertical-relative:page;margin-top:776.44pt;" coordsize="58475,91">
              <v:shape id="Shape 7167" style="position:absolute;width:11247;height:91;left:0;top:0;" coordsize="1124712,9144" path="m0,0l1124712,0l1124712,9144l0,9144l0,0">
                <v:stroke weight="0pt" endcap="flat" joinstyle="miter" miterlimit="10" on="false" color="#000000" opacity="0"/>
                <v:fill on="true" color="#000000"/>
              </v:shape>
              <v:shape id="Shape 7168" style="position:absolute;width:91;height:91;left:1124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169" style="position:absolute;width:47137;height:91;left:11338;top:0;" coordsize="4713732,9144" path="m0,0l4713732,0l471373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16"/>
      </w:rPr>
      <w:t xml:space="preserve">7507 T </w:t>
    </w:r>
    <w:r>
      <w:rPr>
        <w:rFonts w:ascii="Times New Roman" w:eastAsia="Times New Roman" w:hAnsi="Times New Roman" w:cs="Times New Roman"/>
        <w:i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123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3345C" w:rsidRDefault="00A7587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7E" w:rsidRDefault="00A7587E">
      <w:pPr>
        <w:spacing w:after="0" w:line="240" w:lineRule="auto"/>
      </w:pPr>
      <w:r>
        <w:separator/>
      </w:r>
    </w:p>
  </w:footnote>
  <w:footnote w:type="continuationSeparator" w:id="0">
    <w:p w:rsidR="00A7587E" w:rsidRDefault="00A7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77A"/>
    <w:multiLevelType w:val="hybridMultilevel"/>
    <w:tmpl w:val="450C2EAE"/>
    <w:lvl w:ilvl="0" w:tplc="58984A9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AC6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C81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039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05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89D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001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EE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0D5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65528"/>
    <w:multiLevelType w:val="hybridMultilevel"/>
    <w:tmpl w:val="287EC434"/>
    <w:lvl w:ilvl="0" w:tplc="040C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48E469D"/>
    <w:multiLevelType w:val="hybridMultilevel"/>
    <w:tmpl w:val="BE96F286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6881640"/>
    <w:multiLevelType w:val="hybridMultilevel"/>
    <w:tmpl w:val="74F2D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2055"/>
    <w:multiLevelType w:val="hybridMultilevel"/>
    <w:tmpl w:val="130E81A8"/>
    <w:lvl w:ilvl="0" w:tplc="ADECCE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EA7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06C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662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07A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496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6E6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E21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A16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47FF0"/>
    <w:multiLevelType w:val="hybridMultilevel"/>
    <w:tmpl w:val="CCEE7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77D3"/>
    <w:multiLevelType w:val="hybridMultilevel"/>
    <w:tmpl w:val="29B8D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B3E5E"/>
    <w:multiLevelType w:val="hybridMultilevel"/>
    <w:tmpl w:val="83F48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5C"/>
    <w:rsid w:val="00121C6E"/>
    <w:rsid w:val="002368CC"/>
    <w:rsid w:val="004F774F"/>
    <w:rsid w:val="00A7587E"/>
    <w:rsid w:val="00E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3357"/>
  <w15:docId w15:val="{AA77CAA0-DB97-4A90-A032-0C129215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21C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C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3</cp:revision>
  <dcterms:created xsi:type="dcterms:W3CDTF">2020-12-10T16:30:00Z</dcterms:created>
  <dcterms:modified xsi:type="dcterms:W3CDTF">2020-12-10T16:34:00Z</dcterms:modified>
</cp:coreProperties>
</file>