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BE" w:rsidRPr="00D21BEF" w:rsidRDefault="006D690F" w:rsidP="006D690F">
      <w:pPr>
        <w:jc w:val="center"/>
        <w:rPr>
          <w:rFonts w:ascii="Times New Roman" w:hAnsi="Times New Roman" w:cs="Times New Roman"/>
          <w:b/>
          <w:bCs/>
          <w:sz w:val="22"/>
          <w:szCs w:val="22"/>
        </w:rPr>
      </w:pPr>
      <w:r w:rsidRPr="00D21BEF">
        <w:rPr>
          <w:rFonts w:ascii="Times New Roman" w:hAnsi="Times New Roman" w:cs="Times New Roman"/>
          <w:b/>
          <w:bCs/>
          <w:sz w:val="22"/>
          <w:szCs w:val="22"/>
        </w:rPr>
        <w:t xml:space="preserve">      </w:t>
      </w:r>
      <w:r w:rsidR="00B631A7" w:rsidRPr="00D21BEF">
        <w:rPr>
          <w:rFonts w:ascii="Times New Roman" w:hAnsi="Times New Roman" w:cs="Times New Roman"/>
          <w:b/>
          <w:bCs/>
          <w:sz w:val="22"/>
          <w:szCs w:val="22"/>
        </w:rPr>
        <w:t xml:space="preserve">                   </w:t>
      </w:r>
      <w:r w:rsidR="004B6A5F" w:rsidRPr="00D21BEF">
        <w:rPr>
          <w:rFonts w:ascii="Times New Roman" w:hAnsi="Times New Roman" w:cs="Times New Roman"/>
          <w:b/>
          <w:bCs/>
          <w:sz w:val="22"/>
          <w:szCs w:val="22"/>
        </w:rPr>
        <w:t xml:space="preserve">     </w:t>
      </w:r>
      <w:r w:rsidR="00B631A7" w:rsidRPr="00D21BEF">
        <w:rPr>
          <w:rFonts w:ascii="Times New Roman" w:hAnsi="Times New Roman" w:cs="Times New Roman"/>
          <w:b/>
          <w:bCs/>
          <w:sz w:val="22"/>
          <w:szCs w:val="22"/>
        </w:rPr>
        <w:t xml:space="preserve"> </w:t>
      </w:r>
    </w:p>
    <w:p w:rsidR="00DC55BE" w:rsidRPr="00D21BEF" w:rsidRDefault="00DC55BE" w:rsidP="006D690F">
      <w:pPr>
        <w:jc w:val="center"/>
        <w:rPr>
          <w:rFonts w:ascii="Times New Roman" w:hAnsi="Times New Roman" w:cs="Times New Roman"/>
          <w:b/>
          <w:bCs/>
          <w:sz w:val="22"/>
          <w:szCs w:val="22"/>
        </w:rPr>
      </w:pPr>
    </w:p>
    <w:p w:rsidR="00DC55BE" w:rsidRPr="00D21BEF" w:rsidRDefault="00DC55BE" w:rsidP="006D690F">
      <w:pPr>
        <w:jc w:val="center"/>
        <w:rPr>
          <w:rFonts w:ascii="Times New Roman" w:hAnsi="Times New Roman" w:cs="Times New Roman"/>
          <w:b/>
          <w:bCs/>
          <w:sz w:val="22"/>
          <w:szCs w:val="22"/>
        </w:rPr>
      </w:pPr>
      <w:r w:rsidRPr="00D21BEF">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-678927</wp:posOffset>
                </wp:positionH>
                <wp:positionV relativeFrom="paragraph">
                  <wp:posOffset>182373</wp:posOffset>
                </wp:positionV>
                <wp:extent cx="1666513" cy="989314"/>
                <wp:effectExtent l="0" t="0" r="0" b="1905"/>
                <wp:wrapNone/>
                <wp:docPr id="1" name="Zone de texte 1"/>
                <wp:cNvGraphicFramePr/>
                <a:graphic xmlns:a="http://schemas.openxmlformats.org/drawingml/2006/main">
                  <a:graphicData uri="http://schemas.microsoft.com/office/word/2010/wordprocessingShape">
                    <wps:wsp>
                      <wps:cNvSpPr txBox="1"/>
                      <wps:spPr>
                        <a:xfrm>
                          <a:off x="0" y="0"/>
                          <a:ext cx="1666513" cy="989314"/>
                        </a:xfrm>
                        <a:prstGeom prst="rect">
                          <a:avLst/>
                        </a:prstGeom>
                        <a:solidFill>
                          <a:schemeClr val="lt1"/>
                        </a:solidFill>
                        <a:ln w="6350">
                          <a:noFill/>
                        </a:ln>
                      </wps:spPr>
                      <wps:txbx>
                        <w:txbxContent>
                          <w:p w:rsidR="004C3C99" w:rsidRDefault="004C3C99">
                            <w:r w:rsidRPr="006D690F">
                              <w:rPr>
                                <w:rFonts w:ascii="Helvetica" w:hAnsi="Helvetica" w:cs="Helvetica"/>
                                <w:b/>
                                <w:noProof/>
                                <w:sz w:val="22"/>
                                <w:szCs w:val="22"/>
                              </w:rPr>
                              <w:drawing>
                                <wp:inline distT="0" distB="0" distL="0" distR="0" wp14:anchorId="6F062AAB" wp14:editId="5A9FD522">
                                  <wp:extent cx="1510215" cy="894944"/>
                                  <wp:effectExtent l="0" t="0" r="1270" b="0"/>
                                  <wp:docPr id="2" name="Picture 2" descr="IFRISSE BURKINA">
                                    <a:hlinkClick xmlns:a="http://schemas.openxmlformats.org/drawingml/2006/main" r:id="rId8"/>
                                    <a:extLst xmlns:a="http://schemas.openxmlformats.org/drawingml/2006/main">
                                      <a:ext uri="{FF2B5EF4-FFF2-40B4-BE49-F238E27FC236}">
                                        <a16:creationId xmlns:a16="http://schemas.microsoft.com/office/drawing/2014/main" id="{24134C79-5D66-9E42-BB12-7064A2C20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FRISSE BURKINA">
                                            <a:hlinkClick r:id="rId8"/>
                                            <a:extLst>
                                              <a:ext uri="{FF2B5EF4-FFF2-40B4-BE49-F238E27FC236}">
                                                <a16:creationId xmlns:a16="http://schemas.microsoft.com/office/drawing/2014/main" id="{24134C79-5D66-9E42-BB12-7064A2C20E7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167" cy="910323"/>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3.45pt;margin-top:14.35pt;width:131.2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" fillcolor="white [3201]" stroked="f" strokeweight=".5pt">
                <v:textbox>
                  <w:txbxContent>
                    <w:p w:rsidR="004C3C99" w:rsidRDefault="004C3C99">
                      <w:r w:rsidRPr="006D690F">
                        <w:rPr>
                          <w:rFonts w:ascii="Helvetica" w:hAnsi="Helvetica" w:cs="Helvetica"/>
                          <w:b/>
                          <w:noProof/>
                          <w:sz w:val="22"/>
                          <w:szCs w:val="22"/>
                        </w:rPr>
                        <w:drawing>
                          <wp:inline distT="0" distB="0" distL="0" distR="0" wp14:anchorId="6F062AAB" wp14:editId="5A9FD522">
                            <wp:extent cx="1510215" cy="894944"/>
                            <wp:effectExtent l="0" t="0" r="1270" b="0"/>
                            <wp:docPr id="2" name="Picture 2" descr="IFRISSE BURKINA">
                              <a:hlinkClick xmlns:a="http://schemas.openxmlformats.org/drawingml/2006/main" r:id="rId10"/>
                              <a:extLst xmlns:a="http://schemas.openxmlformats.org/drawingml/2006/main">
                                <a:ext uri="{FF2B5EF4-FFF2-40B4-BE49-F238E27FC236}">
                                  <a16:creationId xmlns:a16="http://schemas.microsoft.com/office/drawing/2014/main" id="{24134C79-5D66-9E42-BB12-7064A2C20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FRISSE BURKINA">
                                      <a:hlinkClick r:id="rId10"/>
                                      <a:extLst>
                                        <a:ext uri="{FF2B5EF4-FFF2-40B4-BE49-F238E27FC236}">
                                          <a16:creationId xmlns:a16="http://schemas.microsoft.com/office/drawing/2014/main" id="{24134C79-5D66-9E42-BB12-7064A2C20E7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167" cy="910323"/>
                                    </a:xfrm>
                                    <a:prstGeom prst="rect">
                                      <a:avLst/>
                                    </a:prstGeom>
                                    <a:noFill/>
                                    <a:extLst/>
                                  </pic:spPr>
                                </pic:pic>
                              </a:graphicData>
                            </a:graphic>
                          </wp:inline>
                        </w:drawing>
                      </w:r>
                    </w:p>
                  </w:txbxContent>
                </v:textbox>
              </v:shape>
            </w:pict>
          </mc:Fallback>
        </mc:AlternateContent>
      </w:r>
    </w:p>
    <w:p w:rsidR="00DC55BE" w:rsidRPr="00D21BEF" w:rsidRDefault="00DC55BE" w:rsidP="006D690F">
      <w:pPr>
        <w:jc w:val="center"/>
        <w:rPr>
          <w:rFonts w:ascii="Times New Roman" w:hAnsi="Times New Roman" w:cs="Times New Roman"/>
          <w:b/>
          <w:bCs/>
          <w:sz w:val="22"/>
          <w:szCs w:val="22"/>
        </w:rPr>
      </w:pPr>
    </w:p>
    <w:p w:rsidR="00DC55BE" w:rsidRPr="00D21BEF" w:rsidRDefault="00DC55BE" w:rsidP="006D690F">
      <w:pPr>
        <w:jc w:val="center"/>
        <w:rPr>
          <w:rFonts w:ascii="Times New Roman" w:hAnsi="Times New Roman" w:cs="Times New Roman"/>
          <w:b/>
          <w:bCs/>
          <w:sz w:val="22"/>
          <w:szCs w:val="22"/>
        </w:rPr>
      </w:pPr>
    </w:p>
    <w:p w:rsidR="006D690F" w:rsidRPr="00D21BEF" w:rsidRDefault="00DC55BE" w:rsidP="006D690F">
      <w:pPr>
        <w:jc w:val="center"/>
        <w:rPr>
          <w:rFonts w:ascii="Times New Roman" w:hAnsi="Times New Roman" w:cs="Times New Roman"/>
          <w:b/>
          <w:bCs/>
        </w:rPr>
      </w:pPr>
      <w:r w:rsidRPr="00D21BEF">
        <w:rPr>
          <w:rFonts w:ascii="Times New Roman" w:hAnsi="Times New Roman" w:cs="Times New Roman"/>
          <w:b/>
          <w:bCs/>
        </w:rPr>
        <w:t xml:space="preserve">                     </w:t>
      </w:r>
      <w:r w:rsidR="006D690F" w:rsidRPr="00D21BEF">
        <w:rPr>
          <w:rFonts w:ascii="Times New Roman" w:hAnsi="Times New Roman" w:cs="Times New Roman"/>
          <w:b/>
          <w:bCs/>
        </w:rPr>
        <w:t xml:space="preserve">INSTITUT DE FORMATION ET DE RECHERCHE </w:t>
      </w:r>
      <w:r w:rsidR="006D690F" w:rsidRPr="00D21BEF">
        <w:rPr>
          <w:rFonts w:ascii="Times New Roman" w:hAnsi="Times New Roman" w:cs="Times New Roman"/>
          <w:b/>
          <w:bCs/>
        </w:rPr>
        <w:br/>
        <w:t xml:space="preserve">    </w:t>
      </w:r>
      <w:r w:rsidR="00B631A7" w:rsidRPr="00D21BEF">
        <w:rPr>
          <w:rFonts w:ascii="Times New Roman" w:hAnsi="Times New Roman" w:cs="Times New Roman"/>
          <w:b/>
          <w:bCs/>
        </w:rPr>
        <w:t xml:space="preserve">         </w:t>
      </w:r>
      <w:r w:rsidR="004B6A5F" w:rsidRPr="00D21BEF">
        <w:rPr>
          <w:rFonts w:ascii="Times New Roman" w:hAnsi="Times New Roman" w:cs="Times New Roman"/>
          <w:b/>
          <w:bCs/>
        </w:rPr>
        <w:t xml:space="preserve">         </w:t>
      </w:r>
      <w:r w:rsidR="00B631A7" w:rsidRPr="00D21BEF">
        <w:rPr>
          <w:rFonts w:ascii="Times New Roman" w:hAnsi="Times New Roman" w:cs="Times New Roman"/>
          <w:b/>
          <w:bCs/>
        </w:rPr>
        <w:t xml:space="preserve"> </w:t>
      </w:r>
      <w:r w:rsidR="00F35941" w:rsidRPr="00D21BEF">
        <w:rPr>
          <w:rFonts w:ascii="Times New Roman" w:hAnsi="Times New Roman" w:cs="Times New Roman"/>
          <w:b/>
          <w:bCs/>
        </w:rPr>
        <w:t xml:space="preserve">   </w:t>
      </w:r>
      <w:r w:rsidR="006D690F" w:rsidRPr="00D21BEF">
        <w:rPr>
          <w:rFonts w:ascii="Times New Roman" w:hAnsi="Times New Roman" w:cs="Times New Roman"/>
          <w:b/>
          <w:bCs/>
        </w:rPr>
        <w:t xml:space="preserve">INTERDISCIPLINAIRE EN SCIENCES </w:t>
      </w:r>
      <w:r w:rsidR="006D690F" w:rsidRPr="00D21BEF">
        <w:rPr>
          <w:rFonts w:ascii="Times New Roman" w:hAnsi="Times New Roman" w:cs="Times New Roman"/>
          <w:b/>
          <w:bCs/>
        </w:rPr>
        <w:br/>
      </w:r>
      <w:r w:rsidR="00B631A7" w:rsidRPr="00D21BEF">
        <w:rPr>
          <w:rFonts w:ascii="Times New Roman" w:hAnsi="Times New Roman" w:cs="Times New Roman"/>
          <w:b/>
          <w:bCs/>
        </w:rPr>
        <w:t xml:space="preserve">              </w:t>
      </w:r>
      <w:r w:rsidR="004B6A5F" w:rsidRPr="00D21BEF">
        <w:rPr>
          <w:rFonts w:ascii="Times New Roman" w:hAnsi="Times New Roman" w:cs="Times New Roman"/>
          <w:b/>
          <w:bCs/>
        </w:rPr>
        <w:t xml:space="preserve">      </w:t>
      </w:r>
      <w:r w:rsidR="00F35941" w:rsidRPr="00D21BEF">
        <w:rPr>
          <w:rFonts w:ascii="Times New Roman" w:hAnsi="Times New Roman" w:cs="Times New Roman"/>
          <w:b/>
          <w:bCs/>
        </w:rPr>
        <w:t xml:space="preserve">      </w:t>
      </w:r>
      <w:r w:rsidR="00B631A7" w:rsidRPr="00D21BEF">
        <w:rPr>
          <w:rFonts w:ascii="Times New Roman" w:hAnsi="Times New Roman" w:cs="Times New Roman"/>
          <w:b/>
          <w:bCs/>
        </w:rPr>
        <w:t xml:space="preserve">  </w:t>
      </w:r>
      <w:r w:rsidR="006D690F" w:rsidRPr="00D21BEF">
        <w:rPr>
          <w:rFonts w:ascii="Times New Roman" w:hAnsi="Times New Roman" w:cs="Times New Roman"/>
          <w:b/>
          <w:bCs/>
        </w:rPr>
        <w:t>DE LA SANTÉ ET DE L’EDUCATION (IFRISSE)</w:t>
      </w:r>
    </w:p>
    <w:p w:rsidR="00F35941" w:rsidRPr="00D21BEF" w:rsidRDefault="00CB76F4" w:rsidP="00F35941">
      <w:pPr>
        <w:jc w:val="center"/>
        <w:rPr>
          <w:rFonts w:ascii="Times New Roman" w:hAnsi="Times New Roman" w:cs="Times New Roman"/>
          <w:b/>
          <w:bCs/>
          <w:sz w:val="28"/>
          <w:szCs w:val="28"/>
        </w:rPr>
      </w:pPr>
      <w:r w:rsidRPr="00D21BEF">
        <w:rPr>
          <w:rFonts w:ascii="Times New Roman" w:hAnsi="Times New Roman" w:cs="Times New Roman"/>
          <w:b/>
          <w:bCs/>
          <w:sz w:val="28"/>
          <w:szCs w:val="28"/>
        </w:rPr>
        <w:t xml:space="preserve">               </w:t>
      </w:r>
      <w:r w:rsidR="00A14334" w:rsidRPr="00D21BEF">
        <w:rPr>
          <w:rFonts w:ascii="Times New Roman" w:hAnsi="Times New Roman" w:cs="Times New Roman"/>
          <w:b/>
          <w:bCs/>
          <w:sz w:val="28"/>
          <w:szCs w:val="28"/>
        </w:rPr>
        <w:t>__________________</w:t>
      </w:r>
    </w:p>
    <w:p w:rsidR="00F35941" w:rsidRPr="00D21BEF" w:rsidRDefault="004841D0" w:rsidP="00F35941">
      <w:pPr>
        <w:jc w:val="center"/>
        <w:rPr>
          <w:rFonts w:ascii="Times New Roman" w:hAnsi="Times New Roman" w:cs="Times New Roman"/>
          <w:b/>
          <w:bCs/>
          <w:sz w:val="28"/>
          <w:szCs w:val="28"/>
        </w:rPr>
      </w:pPr>
      <w:r w:rsidRPr="00D21BEF">
        <w:rPr>
          <w:rFonts w:ascii="Times New Roman" w:hAnsi="Times New Roman" w:cs="Times New Roman"/>
          <w:b/>
          <w:sz w:val="28"/>
          <w:szCs w:val="28"/>
        </w:rPr>
        <w:t xml:space="preserve">   </w:t>
      </w:r>
    </w:p>
    <w:p w:rsidR="008E0262" w:rsidRPr="00D21BEF" w:rsidRDefault="00F35941" w:rsidP="008E0262">
      <w:pPr>
        <w:ind w:right="-573"/>
        <w:jc w:val="center"/>
        <w:rPr>
          <w:rFonts w:ascii="Times New Roman" w:hAnsi="Times New Roman" w:cs="Times New Roman"/>
          <w:b/>
          <w:sz w:val="26"/>
          <w:szCs w:val="26"/>
        </w:rPr>
      </w:pPr>
      <w:r w:rsidRPr="00D21BEF">
        <w:rPr>
          <w:rFonts w:ascii="Times New Roman" w:hAnsi="Times New Roman" w:cs="Times New Roman"/>
          <w:b/>
          <w:sz w:val="26"/>
          <w:szCs w:val="26"/>
        </w:rPr>
        <w:t>E</w:t>
      </w:r>
      <w:r w:rsidR="006D690F" w:rsidRPr="00D21BEF">
        <w:rPr>
          <w:rFonts w:ascii="Times New Roman" w:hAnsi="Times New Roman" w:cs="Times New Roman"/>
          <w:b/>
          <w:sz w:val="26"/>
          <w:szCs w:val="26"/>
        </w:rPr>
        <w:t xml:space="preserve">valuation du cours </w:t>
      </w:r>
      <w:r w:rsidR="008E0262" w:rsidRPr="00D21BEF">
        <w:rPr>
          <w:rFonts w:ascii="Times New Roman" w:hAnsi="Times New Roman" w:cs="Times New Roman"/>
          <w:b/>
          <w:sz w:val="26"/>
          <w:szCs w:val="26"/>
        </w:rPr>
        <w:t xml:space="preserve">de </w:t>
      </w:r>
      <w:r w:rsidR="00812F91" w:rsidRPr="00D21BEF">
        <w:rPr>
          <w:rFonts w:ascii="Times New Roman" w:hAnsi="Times New Roman" w:cs="Times New Roman"/>
          <w:b/>
          <w:sz w:val="26"/>
          <w:szCs w:val="26"/>
        </w:rPr>
        <w:t xml:space="preserve">PLANIFICATION SANITAIRE </w:t>
      </w:r>
    </w:p>
    <w:p w:rsidR="006D6B41" w:rsidRPr="00D21BEF" w:rsidRDefault="006D6B41" w:rsidP="006D6B41">
      <w:pPr>
        <w:ind w:right="-573"/>
        <w:jc w:val="both"/>
        <w:rPr>
          <w:rFonts w:ascii="Times New Roman" w:hAnsi="Times New Roman" w:cs="Times New Roman"/>
          <w:b/>
          <w:sz w:val="28"/>
          <w:szCs w:val="28"/>
        </w:rPr>
      </w:pPr>
    </w:p>
    <w:p w:rsidR="00156ECD" w:rsidRPr="00D21BEF" w:rsidRDefault="00156ECD" w:rsidP="00156ECD">
      <w:pPr>
        <w:ind w:right="-573"/>
        <w:rPr>
          <w:rFonts w:ascii="Times New Roman" w:hAnsi="Times New Roman" w:cs="Times New Roman"/>
          <w:b/>
          <w:sz w:val="26"/>
          <w:szCs w:val="26"/>
        </w:rPr>
      </w:pPr>
    </w:p>
    <w:p w:rsidR="00156ECD" w:rsidRPr="00D21BEF" w:rsidRDefault="00156ECD" w:rsidP="00156ECD">
      <w:pPr>
        <w:ind w:right="-573"/>
        <w:jc w:val="center"/>
        <w:rPr>
          <w:rFonts w:ascii="Times New Roman" w:hAnsi="Times New Roman" w:cs="Times New Roman"/>
          <w:sz w:val="26"/>
          <w:szCs w:val="26"/>
          <w:u w:val="single"/>
        </w:rPr>
      </w:pPr>
      <w:r w:rsidRPr="00D21BEF">
        <w:rPr>
          <w:rFonts w:ascii="Times New Roman" w:hAnsi="Times New Roman" w:cs="Times New Roman"/>
          <w:sz w:val="26"/>
          <w:szCs w:val="26"/>
          <w:u w:val="single"/>
        </w:rPr>
        <w:t>Exercices pour les Travaux de Groupes</w:t>
      </w:r>
    </w:p>
    <w:p w:rsidR="00156ECD" w:rsidRPr="00D21BEF" w:rsidRDefault="00156ECD" w:rsidP="00156ECD">
      <w:pPr>
        <w:ind w:right="-573"/>
        <w:jc w:val="both"/>
        <w:rPr>
          <w:rFonts w:ascii="Times New Roman" w:hAnsi="Times New Roman" w:cs="Times New Roman"/>
          <w:sz w:val="28"/>
          <w:szCs w:val="28"/>
          <w:u w:val="single"/>
        </w:rPr>
      </w:pPr>
    </w:p>
    <w:p w:rsidR="00156ECD" w:rsidRPr="00D21BEF" w:rsidRDefault="00156ECD" w:rsidP="00156ECD">
      <w:pPr>
        <w:ind w:right="-573"/>
        <w:jc w:val="both"/>
        <w:rPr>
          <w:rFonts w:ascii="Times New Roman" w:hAnsi="Times New Roman" w:cs="Times New Roman"/>
          <w:b/>
          <w:sz w:val="28"/>
          <w:szCs w:val="28"/>
        </w:rPr>
      </w:pPr>
    </w:p>
    <w:p w:rsidR="00156ECD" w:rsidRPr="00D21BEF" w:rsidRDefault="00156ECD" w:rsidP="00156ECD">
      <w:pPr>
        <w:spacing w:line="276" w:lineRule="auto"/>
        <w:rPr>
          <w:rFonts w:ascii="Times New Roman" w:hAnsi="Times New Roman" w:cs="Times New Roman"/>
          <w:b/>
        </w:rPr>
      </w:pPr>
      <w:r w:rsidRPr="00D21BEF">
        <w:rPr>
          <w:rFonts w:ascii="Times New Roman" w:hAnsi="Times New Roman" w:cs="Times New Roman"/>
          <w:b/>
          <w:u w:val="single"/>
        </w:rPr>
        <w:t>UE</w:t>
      </w:r>
      <w:r w:rsidRPr="00D21BEF">
        <w:rPr>
          <w:rFonts w:ascii="Times New Roman" w:hAnsi="Times New Roman" w:cs="Times New Roman"/>
          <w:b/>
        </w:rPr>
        <w:t> :  Planification, Gestion, Suivi et Evaluation des Programmes et Projets de santé</w:t>
      </w:r>
    </w:p>
    <w:p w:rsidR="00156ECD" w:rsidRPr="00D21BEF" w:rsidRDefault="00156ECD" w:rsidP="00156ECD">
      <w:pPr>
        <w:rPr>
          <w:rFonts w:ascii="Times New Roman" w:hAnsi="Times New Roman" w:cs="Times New Roman"/>
          <w:b/>
          <w:u w:val="single"/>
        </w:rPr>
      </w:pPr>
    </w:p>
    <w:p w:rsidR="00156ECD" w:rsidRPr="00D21BEF" w:rsidRDefault="00156ECD" w:rsidP="00156ECD">
      <w:pPr>
        <w:rPr>
          <w:rFonts w:ascii="Times New Roman" w:hAnsi="Times New Roman" w:cs="Times New Roman"/>
          <w:b/>
          <w:u w:val="single"/>
        </w:rPr>
      </w:pPr>
    </w:p>
    <w:p w:rsidR="00156ECD" w:rsidRPr="00D21BEF" w:rsidRDefault="00156ECD" w:rsidP="00156ECD">
      <w:pPr>
        <w:rPr>
          <w:rFonts w:ascii="Times New Roman" w:hAnsi="Times New Roman" w:cs="Times New Roman"/>
          <w:b/>
        </w:rPr>
      </w:pPr>
    </w:p>
    <w:p w:rsidR="00156ECD" w:rsidRPr="00D21BEF" w:rsidRDefault="003F69B0" w:rsidP="00156ECD">
      <w:pPr>
        <w:pBdr>
          <w:top w:val="single" w:sz="4" w:space="1" w:color="auto"/>
          <w:left w:val="single" w:sz="4" w:space="4" w:color="auto"/>
          <w:bottom w:val="single" w:sz="4" w:space="1" w:color="auto"/>
          <w:right w:val="single" w:sz="4" w:space="4" w:color="auto"/>
        </w:pBdr>
        <w:ind w:right="-573"/>
        <w:jc w:val="center"/>
        <w:rPr>
          <w:rFonts w:ascii="Times New Roman" w:hAnsi="Times New Roman" w:cs="Times New Roman"/>
          <w:b/>
          <w:sz w:val="26"/>
          <w:szCs w:val="26"/>
        </w:rPr>
      </w:pPr>
      <w:r>
        <w:rPr>
          <w:rFonts w:ascii="Times New Roman" w:hAnsi="Times New Roman" w:cs="Times New Roman"/>
          <w:b/>
          <w:sz w:val="26"/>
          <w:szCs w:val="26"/>
        </w:rPr>
        <w:t>Instructions pour les Travaux de G</w:t>
      </w:r>
      <w:r w:rsidR="00156ECD" w:rsidRPr="00D21BEF">
        <w:rPr>
          <w:rFonts w:ascii="Times New Roman" w:hAnsi="Times New Roman" w:cs="Times New Roman"/>
          <w:b/>
          <w:sz w:val="26"/>
          <w:szCs w:val="26"/>
        </w:rPr>
        <w:t>roupes</w:t>
      </w:r>
    </w:p>
    <w:p w:rsidR="00156ECD" w:rsidRPr="00D21BEF" w:rsidRDefault="00156ECD" w:rsidP="00156ECD">
      <w:pPr>
        <w:ind w:right="-573"/>
        <w:jc w:val="both"/>
        <w:rPr>
          <w:rFonts w:ascii="Times New Roman" w:hAnsi="Times New Roman" w:cs="Times New Roman"/>
          <w:b/>
          <w:sz w:val="26"/>
          <w:szCs w:val="26"/>
        </w:rPr>
      </w:pPr>
    </w:p>
    <w:p w:rsidR="00156ECD" w:rsidRPr="00D21BEF" w:rsidRDefault="00156ECD" w:rsidP="00156ECD">
      <w:pPr>
        <w:ind w:right="-573"/>
        <w:jc w:val="both"/>
        <w:rPr>
          <w:rFonts w:ascii="Times New Roman" w:hAnsi="Times New Roman" w:cs="Times New Roman"/>
          <w:u w:val="single"/>
        </w:rPr>
      </w:pPr>
    </w:p>
    <w:p w:rsidR="00156ECD" w:rsidRPr="00D21BEF" w:rsidRDefault="00156ECD" w:rsidP="00156ECD">
      <w:pPr>
        <w:spacing w:line="276" w:lineRule="auto"/>
        <w:ind w:right="-573"/>
        <w:jc w:val="both"/>
        <w:rPr>
          <w:rFonts w:ascii="Times New Roman" w:hAnsi="Times New Roman" w:cs="Times New Roman"/>
          <w:b/>
        </w:rPr>
      </w:pPr>
      <w:r w:rsidRPr="00D21BEF">
        <w:rPr>
          <w:rFonts w:ascii="Times New Roman" w:hAnsi="Times New Roman" w:cs="Times New Roman"/>
        </w:rPr>
        <w:t>Chaq</w:t>
      </w:r>
      <w:r w:rsidR="00812F91" w:rsidRPr="00D21BEF">
        <w:rPr>
          <w:rFonts w:ascii="Times New Roman" w:hAnsi="Times New Roman" w:cs="Times New Roman"/>
        </w:rPr>
        <w:t>ue groupe devra un élaborer un P</w:t>
      </w:r>
      <w:r w:rsidRPr="00D21BEF">
        <w:rPr>
          <w:rFonts w:ascii="Times New Roman" w:hAnsi="Times New Roman" w:cs="Times New Roman"/>
        </w:rPr>
        <w:t>lan</w:t>
      </w:r>
      <w:r w:rsidR="00812F91" w:rsidRPr="00D21BEF">
        <w:rPr>
          <w:rFonts w:ascii="Times New Roman" w:hAnsi="Times New Roman" w:cs="Times New Roman"/>
        </w:rPr>
        <w:t xml:space="preserve"> Opérationnel Annuel</w:t>
      </w:r>
      <w:r w:rsidRPr="00D21BEF">
        <w:rPr>
          <w:rFonts w:ascii="Times New Roman" w:hAnsi="Times New Roman" w:cs="Times New Roman"/>
        </w:rPr>
        <w:t xml:space="preserve"> </w:t>
      </w:r>
      <w:r w:rsidR="00812F91" w:rsidRPr="00D21BEF">
        <w:rPr>
          <w:rFonts w:ascii="Times New Roman" w:hAnsi="Times New Roman" w:cs="Times New Roman"/>
        </w:rPr>
        <w:t>(POA</w:t>
      </w:r>
      <w:r w:rsidRPr="00D21BEF">
        <w:rPr>
          <w:rFonts w:ascii="Times New Roman" w:hAnsi="Times New Roman" w:cs="Times New Roman"/>
        </w:rPr>
        <w:t>) selon le canevas ci-joint contenant les directives d’élaboration. Le</w:t>
      </w:r>
      <w:r w:rsidR="00812F91" w:rsidRPr="00D21BEF">
        <w:rPr>
          <w:rFonts w:ascii="Times New Roman" w:hAnsi="Times New Roman" w:cs="Times New Roman"/>
        </w:rPr>
        <w:t>s données/informations de base</w:t>
      </w:r>
      <w:r w:rsidRPr="00D21BEF">
        <w:rPr>
          <w:rFonts w:ascii="Times New Roman" w:hAnsi="Times New Roman" w:cs="Times New Roman"/>
        </w:rPr>
        <w:t xml:space="preserve"> </w:t>
      </w:r>
      <w:r w:rsidR="00812F91" w:rsidRPr="00D21BEF">
        <w:rPr>
          <w:rFonts w:ascii="Times New Roman" w:hAnsi="Times New Roman" w:cs="Times New Roman"/>
        </w:rPr>
        <w:t>pour guider/orienter le processus de planificat</w:t>
      </w:r>
      <w:r w:rsidR="00953D8F" w:rsidRPr="00D21BEF">
        <w:rPr>
          <w:rFonts w:ascii="Times New Roman" w:hAnsi="Times New Roman" w:cs="Times New Roman"/>
        </w:rPr>
        <w:t xml:space="preserve">ion sont présentées ci-dessous </w:t>
      </w:r>
      <w:r w:rsidR="00953D8F" w:rsidRPr="00D21BEF">
        <w:rPr>
          <w:rFonts w:ascii="Times New Roman" w:hAnsi="Times New Roman" w:cs="Times New Roman"/>
          <w:b/>
        </w:rPr>
        <w:t>(Analyse de la situation)</w:t>
      </w:r>
    </w:p>
    <w:p w:rsidR="00812F91" w:rsidRPr="00D21BEF" w:rsidRDefault="00812F91" w:rsidP="00156ECD">
      <w:pPr>
        <w:spacing w:line="276" w:lineRule="auto"/>
        <w:ind w:right="-573"/>
        <w:jc w:val="both"/>
        <w:rPr>
          <w:rFonts w:ascii="Times New Roman" w:hAnsi="Times New Roman" w:cs="Times New Roman"/>
        </w:rPr>
      </w:pPr>
    </w:p>
    <w:p w:rsidR="00156ECD" w:rsidRPr="00D21BEF" w:rsidRDefault="00156ECD" w:rsidP="00156ECD">
      <w:pPr>
        <w:ind w:right="-573"/>
        <w:jc w:val="both"/>
        <w:rPr>
          <w:rFonts w:ascii="Times New Roman" w:hAnsi="Times New Roman" w:cs="Times New Roman"/>
        </w:rPr>
      </w:pPr>
      <w:r w:rsidRPr="00D21BEF">
        <w:rPr>
          <w:rFonts w:ascii="Times New Roman" w:hAnsi="Times New Roman" w:cs="Times New Roman"/>
        </w:rPr>
        <w:t xml:space="preserve">Chaque groupe doit s’organiser pour élaborer le document avec la </w:t>
      </w:r>
      <w:r w:rsidRPr="00D21BEF">
        <w:rPr>
          <w:rFonts w:ascii="Times New Roman" w:hAnsi="Times New Roman" w:cs="Times New Roman"/>
          <w:b/>
          <w:u w:val="single"/>
        </w:rPr>
        <w:t>participation effective de tous les membres</w:t>
      </w:r>
      <w:r w:rsidRPr="00D21BEF">
        <w:rPr>
          <w:rFonts w:ascii="Times New Roman" w:hAnsi="Times New Roman" w:cs="Times New Roman"/>
        </w:rPr>
        <w:t xml:space="preserve"> du groupe. </w:t>
      </w:r>
    </w:p>
    <w:p w:rsidR="00156ECD" w:rsidRDefault="00156ECD" w:rsidP="00156ECD">
      <w:pPr>
        <w:ind w:right="-573"/>
        <w:jc w:val="both"/>
        <w:rPr>
          <w:rFonts w:ascii="Times New Roman" w:hAnsi="Times New Roman" w:cs="Times New Roman"/>
        </w:rPr>
      </w:pPr>
    </w:p>
    <w:p w:rsidR="003F69B0" w:rsidRPr="00D21BEF" w:rsidRDefault="003F69B0" w:rsidP="00156ECD">
      <w:pPr>
        <w:ind w:right="-573"/>
        <w:jc w:val="both"/>
        <w:rPr>
          <w:rFonts w:ascii="Times New Roman" w:hAnsi="Times New Roman" w:cs="Times New Roman"/>
        </w:rPr>
      </w:pPr>
    </w:p>
    <w:p w:rsidR="00156ECD" w:rsidRPr="00D21BEF" w:rsidRDefault="00156ECD" w:rsidP="00156ECD">
      <w:pPr>
        <w:ind w:right="-573"/>
        <w:jc w:val="both"/>
        <w:rPr>
          <w:rFonts w:ascii="Times New Roman" w:hAnsi="Times New Roman" w:cs="Times New Roman"/>
        </w:rPr>
      </w:pPr>
      <w:r w:rsidRPr="00D21BEF">
        <w:rPr>
          <w:rFonts w:ascii="Times New Roman" w:hAnsi="Times New Roman" w:cs="Times New Roman"/>
        </w:rPr>
        <w:t xml:space="preserve">La note du groupe sera comptabilisée pour 50% de la note du Module de </w:t>
      </w:r>
      <w:r w:rsidR="00812F91" w:rsidRPr="00D21BEF">
        <w:rPr>
          <w:rFonts w:ascii="Times New Roman" w:hAnsi="Times New Roman" w:cs="Times New Roman"/>
        </w:rPr>
        <w:t>Planification Sanitaire</w:t>
      </w:r>
    </w:p>
    <w:p w:rsidR="00156ECD" w:rsidRPr="00D21BEF" w:rsidRDefault="00156ECD" w:rsidP="00156ECD">
      <w:pPr>
        <w:rPr>
          <w:rFonts w:ascii="Times New Roman" w:hAnsi="Times New Roman" w:cs="Times New Roman"/>
          <w:b/>
        </w:rPr>
      </w:pPr>
    </w:p>
    <w:p w:rsidR="00156ECD" w:rsidRPr="00D21BEF" w:rsidRDefault="00156ECD" w:rsidP="00156ECD">
      <w:pPr>
        <w:rPr>
          <w:rFonts w:ascii="Times New Roman" w:hAnsi="Times New Roman" w:cs="Times New Roman"/>
          <w:b/>
          <w:sz w:val="18"/>
        </w:rPr>
      </w:pPr>
    </w:p>
    <w:p w:rsidR="00DC55BE" w:rsidRPr="00D21BEF" w:rsidRDefault="00DC55BE" w:rsidP="008C0554">
      <w:pPr>
        <w:rPr>
          <w:rFonts w:ascii="Times New Roman" w:hAnsi="Times New Roman" w:cs="Times New Roman"/>
          <w:b/>
          <w:sz w:val="18"/>
        </w:rPr>
      </w:pPr>
    </w:p>
    <w:p w:rsidR="00DC55BE" w:rsidRPr="00D21BEF" w:rsidRDefault="00DC55BE" w:rsidP="008C0554">
      <w:pPr>
        <w:rPr>
          <w:rFonts w:ascii="Times New Roman" w:hAnsi="Times New Roman" w:cs="Times New Roman"/>
          <w:b/>
          <w:sz w:val="18"/>
        </w:rPr>
      </w:pPr>
    </w:p>
    <w:p w:rsidR="00DC55BE" w:rsidRPr="00D21BEF" w:rsidRDefault="00DC55BE" w:rsidP="008C0554">
      <w:pPr>
        <w:rPr>
          <w:rFonts w:ascii="Times New Roman" w:hAnsi="Times New Roman" w:cs="Times New Roman"/>
          <w:b/>
          <w:sz w:val="18"/>
        </w:rPr>
      </w:pPr>
    </w:p>
    <w:p w:rsidR="00DC55BE" w:rsidRPr="00D21BEF" w:rsidRDefault="00DC55BE" w:rsidP="008C0554">
      <w:pPr>
        <w:rPr>
          <w:rFonts w:ascii="Times New Roman" w:hAnsi="Times New Roman" w:cs="Times New Roman"/>
          <w:b/>
          <w:sz w:val="18"/>
        </w:rPr>
      </w:pPr>
    </w:p>
    <w:p w:rsidR="003C1B12" w:rsidRPr="00D21BEF" w:rsidRDefault="003C1B12" w:rsidP="008C0554">
      <w:pPr>
        <w:rPr>
          <w:rFonts w:ascii="Times New Roman" w:hAnsi="Times New Roman" w:cs="Times New Roman"/>
          <w:b/>
          <w:sz w:val="8"/>
        </w:rPr>
      </w:pPr>
    </w:p>
    <w:p w:rsidR="00B27CAE" w:rsidRPr="00D21BEF" w:rsidRDefault="00B27CAE" w:rsidP="00143049">
      <w:pPr>
        <w:ind w:right="-432"/>
        <w:jc w:val="both"/>
        <w:rPr>
          <w:rFonts w:ascii="Times New Roman" w:hAnsi="Times New Roman" w:cs="Times New Roman"/>
          <w:b/>
          <w:sz w:val="22"/>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Pr="00D21BEF" w:rsidRDefault="00DC55BE" w:rsidP="00143049">
      <w:pPr>
        <w:ind w:right="-432"/>
        <w:jc w:val="both"/>
        <w:rPr>
          <w:rFonts w:ascii="Times New Roman" w:hAnsi="Times New Roman" w:cs="Times New Roman"/>
          <w:b/>
        </w:rPr>
      </w:pPr>
    </w:p>
    <w:p w:rsidR="00DC55BE" w:rsidRDefault="00DC55BE" w:rsidP="00143049">
      <w:pPr>
        <w:ind w:right="-432"/>
        <w:jc w:val="both"/>
        <w:rPr>
          <w:rFonts w:ascii="Times New Roman" w:hAnsi="Times New Roman" w:cs="Times New Roman"/>
          <w:b/>
        </w:rPr>
      </w:pPr>
    </w:p>
    <w:p w:rsidR="00D21BEF" w:rsidRPr="00D21BEF" w:rsidRDefault="00D21BEF" w:rsidP="00143049">
      <w:pPr>
        <w:ind w:right="-432"/>
        <w:jc w:val="both"/>
        <w:rPr>
          <w:rFonts w:ascii="Times New Roman" w:hAnsi="Times New Roman" w:cs="Times New Roman"/>
          <w:b/>
        </w:rPr>
      </w:pPr>
    </w:p>
    <w:p w:rsidR="00DC55BE" w:rsidRDefault="00DC55BE" w:rsidP="00143049">
      <w:pPr>
        <w:ind w:right="-432"/>
        <w:jc w:val="both"/>
        <w:rPr>
          <w:rFonts w:ascii="Times New Roman" w:hAnsi="Times New Roman" w:cs="Times New Roman"/>
          <w:b/>
        </w:rPr>
      </w:pPr>
    </w:p>
    <w:p w:rsidR="00A757CC" w:rsidRDefault="00A757CC" w:rsidP="00143049">
      <w:pPr>
        <w:ind w:right="-432"/>
        <w:jc w:val="both"/>
        <w:rPr>
          <w:rFonts w:ascii="Times New Roman" w:hAnsi="Times New Roman" w:cs="Times New Roman"/>
          <w:b/>
        </w:rPr>
      </w:pPr>
    </w:p>
    <w:p w:rsidR="00A757CC" w:rsidRPr="00D21BEF" w:rsidRDefault="00A757CC" w:rsidP="00143049">
      <w:pPr>
        <w:ind w:right="-432"/>
        <w:jc w:val="both"/>
        <w:rPr>
          <w:rFonts w:ascii="Times New Roman" w:hAnsi="Times New Roman" w:cs="Times New Roman"/>
          <w:b/>
        </w:rPr>
      </w:pPr>
    </w:p>
    <w:p w:rsidR="00DC55BE" w:rsidRPr="00BF0B64" w:rsidRDefault="00953D8F" w:rsidP="00953D8F">
      <w:pPr>
        <w:ind w:right="-432"/>
        <w:jc w:val="center"/>
        <w:rPr>
          <w:rFonts w:ascii="Times New Roman" w:hAnsi="Times New Roman" w:cs="Times New Roman"/>
          <w:b/>
          <w:sz w:val="26"/>
          <w:szCs w:val="26"/>
        </w:rPr>
      </w:pPr>
      <w:r w:rsidRPr="00BF0B64">
        <w:rPr>
          <w:rFonts w:ascii="Times New Roman" w:hAnsi="Times New Roman" w:cs="Times New Roman"/>
          <w:b/>
          <w:sz w:val="26"/>
          <w:szCs w:val="26"/>
        </w:rPr>
        <w:t>ANALYSE DE LA SITUATION DANS LE DISTRICT DE KOLANGA</w:t>
      </w:r>
    </w:p>
    <w:p w:rsidR="00AD4F29" w:rsidRPr="00D21BEF" w:rsidRDefault="00AD4F29" w:rsidP="00143049">
      <w:pPr>
        <w:ind w:right="-432"/>
        <w:jc w:val="both"/>
        <w:rPr>
          <w:rFonts w:ascii="Times New Roman" w:hAnsi="Times New Roman" w:cs="Times New Roman"/>
          <w:b/>
        </w:rPr>
      </w:pPr>
    </w:p>
    <w:p w:rsidR="00953D8F" w:rsidRPr="00D21BEF" w:rsidRDefault="00953D8F" w:rsidP="00953D8F">
      <w:pPr>
        <w:spacing w:line="276" w:lineRule="auto"/>
        <w:jc w:val="both"/>
        <w:rPr>
          <w:rFonts w:ascii="Times New Roman" w:hAnsi="Times New Roman" w:cs="Times New Roman"/>
          <w:b/>
        </w:rPr>
      </w:pPr>
      <w:bookmarkStart w:id="0" w:name="_Toc284411725"/>
      <w:bookmarkStart w:id="1" w:name="_Toc316331246"/>
      <w:bookmarkStart w:id="2" w:name="_Toc316331307"/>
      <w:bookmarkStart w:id="3" w:name="_Toc316331367"/>
      <w:bookmarkStart w:id="4" w:name="_Toc316331510"/>
      <w:bookmarkStart w:id="5" w:name="_Toc316331570"/>
      <w:bookmarkStart w:id="6" w:name="_Toc316331854"/>
      <w:bookmarkStart w:id="7" w:name="_Toc316332032"/>
      <w:bookmarkStart w:id="8" w:name="_Toc316332133"/>
      <w:bookmarkStart w:id="9" w:name="_Toc423277096"/>
      <w:r w:rsidRPr="00D21BEF">
        <w:rPr>
          <w:rFonts w:ascii="Times New Roman" w:hAnsi="Times New Roman" w:cs="Times New Roman"/>
          <w:b/>
        </w:rPr>
        <w:t>1. Hygiène et assainissement</w:t>
      </w:r>
    </w:p>
    <w:p w:rsidR="00953D8F" w:rsidRPr="00D21BEF" w:rsidRDefault="00953D8F"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Dans le district de Kolanga,</w:t>
      </w:r>
      <w:bookmarkEnd w:id="0"/>
      <w:bookmarkEnd w:id="1"/>
      <w:bookmarkEnd w:id="2"/>
      <w:bookmarkEnd w:id="3"/>
      <w:bookmarkEnd w:id="4"/>
      <w:bookmarkEnd w:id="5"/>
      <w:bookmarkEnd w:id="6"/>
      <w:bookmarkEnd w:id="7"/>
      <w:bookmarkEnd w:id="8"/>
      <w:bookmarkEnd w:id="9"/>
      <w:r w:rsidRPr="00D21BEF">
        <w:rPr>
          <w:rFonts w:ascii="Times New Roman" w:hAnsi="Times New Roman" w:cs="Times New Roman"/>
          <w:sz w:val="22"/>
          <w:szCs w:val="22"/>
        </w:rPr>
        <w:t xml:space="preserve"> L’hygiène publique de façon générale est précaire. Le système d’évacuation des eaux usées et pluviales est inexistant. Il n’existe pas de service de collecte et d’évacuation des déchets ménagers dans la ville de Kolanga. Dans les autres localités de la province, la gestion des ordures ménagères reste traditionnelle. A cela s’ajoute une très faible utilisation des latrines dans les ménages et une cohabitation avec les animaux. La vidange de ces latrines existantes est manuelle. Les excrétas sont déposés à l’air libre à proximité des concessions. </w:t>
      </w:r>
    </w:p>
    <w:p w:rsidR="00953D8F" w:rsidRPr="00D21BEF" w:rsidRDefault="00953D8F"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L’approvisionnement en eau potable se fait à travers les forages dans les villages. Seule la ville de Kolanga dispose de l’eau courante. A certaines périodes de l’année, des populations utilisent les eaux de ruissellement et des mares pour leur consommation. Cette eau de quantité insuffisante et de qualité impropre ne favorise pas une bonne hygiène de vie mais également entraine fréquemment des maladies parasitaires, bactériennes, virales et des intoxications alimentaires.</w:t>
      </w:r>
    </w:p>
    <w:p w:rsidR="00953D8F" w:rsidRPr="00D21BEF" w:rsidRDefault="00953D8F" w:rsidP="00953D8F">
      <w:pPr>
        <w:spacing w:line="276" w:lineRule="auto"/>
        <w:jc w:val="both"/>
        <w:rPr>
          <w:rFonts w:ascii="Times New Roman" w:hAnsi="Times New Roman" w:cs="Times New Roman"/>
          <w:sz w:val="22"/>
          <w:szCs w:val="22"/>
        </w:rPr>
      </w:pPr>
    </w:p>
    <w:p w:rsidR="00953D8F" w:rsidRPr="00D21BEF" w:rsidRDefault="00953D8F" w:rsidP="00BA5B1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Dans le système de santé, il existe deux types de collecte des déchets bio médicaux dans les formations sanitaires. Seuls l’hôpital de district, les </w:t>
      </w:r>
      <w:r w:rsidR="00BA5B1F" w:rsidRPr="00D21BEF">
        <w:rPr>
          <w:rFonts w:ascii="Times New Roman" w:hAnsi="Times New Roman" w:cs="Times New Roman"/>
          <w:sz w:val="22"/>
          <w:szCs w:val="22"/>
        </w:rPr>
        <w:t xml:space="preserve">formations sanitaires (FOSA) de Bena, Wana, et de Tachi </w:t>
      </w:r>
      <w:r w:rsidRPr="00D21BEF">
        <w:rPr>
          <w:rFonts w:ascii="Times New Roman" w:hAnsi="Times New Roman" w:cs="Times New Roman"/>
          <w:sz w:val="22"/>
          <w:szCs w:val="22"/>
        </w:rPr>
        <w:t xml:space="preserve">disposent d’incinérateurs. Le traitement des déchets médicaux se fait à l’air libre par le brulis. Par </w:t>
      </w:r>
    </w:p>
    <w:p w:rsidR="00BA5B1F" w:rsidRPr="00D21BEF" w:rsidRDefault="00BA5B1F" w:rsidP="00BA5B1F">
      <w:pPr>
        <w:spacing w:line="276" w:lineRule="auto"/>
        <w:jc w:val="both"/>
        <w:rPr>
          <w:rFonts w:ascii="Times New Roman" w:hAnsi="Times New Roman" w:cs="Times New Roman"/>
          <w:sz w:val="22"/>
          <w:szCs w:val="22"/>
        </w:rPr>
      </w:pPr>
    </w:p>
    <w:p w:rsidR="00953D8F" w:rsidRPr="00D21BEF" w:rsidRDefault="00BA5B1F" w:rsidP="00BA5B1F">
      <w:pPr>
        <w:snapToGrid w:val="0"/>
        <w:spacing w:after="120" w:line="276" w:lineRule="auto"/>
        <w:jc w:val="both"/>
        <w:rPr>
          <w:rFonts w:ascii="Times New Roman" w:hAnsi="Times New Roman" w:cs="Times New Roman"/>
          <w:b/>
        </w:rPr>
      </w:pPr>
      <w:r w:rsidRPr="00D21BEF">
        <w:rPr>
          <w:rFonts w:ascii="Times New Roman" w:hAnsi="Times New Roman" w:cs="Times New Roman"/>
          <w:b/>
        </w:rPr>
        <w:t xml:space="preserve">2. </w:t>
      </w:r>
      <w:r w:rsidR="00953D8F" w:rsidRPr="00D21BEF">
        <w:rPr>
          <w:rFonts w:ascii="Times New Roman" w:hAnsi="Times New Roman" w:cs="Times New Roman"/>
          <w:b/>
        </w:rPr>
        <w:t>Le profil épidémiologique du district se présente comme suit :</w:t>
      </w:r>
    </w:p>
    <w:p w:rsidR="00953D8F" w:rsidRPr="00D21BEF" w:rsidRDefault="00BA5B1F" w:rsidP="00BA5B1F">
      <w:pPr>
        <w:snapToGrid w:val="0"/>
        <w:spacing w:after="120" w:line="276" w:lineRule="auto"/>
        <w:jc w:val="both"/>
        <w:rPr>
          <w:rFonts w:ascii="Times New Roman" w:hAnsi="Times New Roman" w:cs="Times New Roman"/>
          <w:i/>
          <w:sz w:val="22"/>
          <w:szCs w:val="22"/>
        </w:rPr>
      </w:pPr>
      <w:bookmarkStart w:id="10" w:name="_Toc284411728"/>
      <w:bookmarkStart w:id="11" w:name="_Toc316331248"/>
      <w:bookmarkStart w:id="12" w:name="_Toc316331309"/>
      <w:bookmarkStart w:id="13" w:name="_Toc316331369"/>
      <w:bookmarkStart w:id="14" w:name="_Toc316331512"/>
      <w:bookmarkStart w:id="15" w:name="_Toc316331572"/>
      <w:bookmarkStart w:id="16" w:name="_Toc316331856"/>
      <w:bookmarkStart w:id="17" w:name="_Toc316332034"/>
      <w:bookmarkStart w:id="18" w:name="_Toc316332135"/>
      <w:bookmarkStart w:id="19" w:name="_Toc326392672"/>
      <w:bookmarkStart w:id="20" w:name="_Toc326557768"/>
      <w:bookmarkStart w:id="21" w:name="_Toc423277098"/>
      <w:r w:rsidRPr="00D21BEF">
        <w:rPr>
          <w:rFonts w:ascii="Times New Roman" w:hAnsi="Times New Roman" w:cs="Times New Roman"/>
          <w:i/>
          <w:sz w:val="22"/>
          <w:szCs w:val="22"/>
        </w:rPr>
        <w:t xml:space="preserve">2.1. </w:t>
      </w:r>
      <w:r w:rsidR="00953D8F" w:rsidRPr="00D21BEF">
        <w:rPr>
          <w:rFonts w:ascii="Times New Roman" w:hAnsi="Times New Roman" w:cs="Times New Roman"/>
          <w:i/>
          <w:sz w:val="22"/>
          <w:szCs w:val="22"/>
        </w:rPr>
        <w:t>Morbidité générale</w:t>
      </w:r>
      <w:bookmarkEnd w:id="10"/>
      <w:bookmarkEnd w:id="11"/>
      <w:bookmarkEnd w:id="12"/>
      <w:bookmarkEnd w:id="13"/>
      <w:bookmarkEnd w:id="14"/>
      <w:bookmarkEnd w:id="15"/>
      <w:bookmarkEnd w:id="16"/>
      <w:bookmarkEnd w:id="17"/>
      <w:bookmarkEnd w:id="18"/>
      <w:bookmarkEnd w:id="19"/>
      <w:bookmarkEnd w:id="20"/>
      <w:bookmarkEnd w:id="21"/>
      <w:r w:rsidR="00953D8F" w:rsidRPr="00D21BEF">
        <w:rPr>
          <w:rFonts w:ascii="Times New Roman" w:hAnsi="Times New Roman" w:cs="Times New Roman"/>
          <w:i/>
          <w:sz w:val="22"/>
          <w:szCs w:val="22"/>
        </w:rPr>
        <w:t> </w:t>
      </w:r>
    </w:p>
    <w:p w:rsidR="00953D8F" w:rsidRPr="00D21BEF" w:rsidRDefault="00953D8F" w:rsidP="00953D8F">
      <w:pPr>
        <w:spacing w:line="276" w:lineRule="auto"/>
        <w:jc w:val="both"/>
        <w:rPr>
          <w:rFonts w:ascii="Times New Roman" w:hAnsi="Times New Roman" w:cs="Times New Roman"/>
          <w:sz w:val="22"/>
          <w:szCs w:val="22"/>
        </w:rPr>
      </w:pPr>
      <w:bookmarkStart w:id="22" w:name="_Toc423247944"/>
      <w:bookmarkStart w:id="23" w:name="_Toc423248197"/>
      <w:bookmarkStart w:id="24" w:name="_Toc423276986"/>
      <w:bookmarkStart w:id="25" w:name="_Toc423277100"/>
      <w:r w:rsidRPr="00D21BEF">
        <w:rPr>
          <w:rFonts w:ascii="Times New Roman" w:hAnsi="Times New Roman" w:cs="Times New Roman"/>
          <w:sz w:val="22"/>
          <w:szCs w:val="22"/>
        </w:rPr>
        <w:t xml:space="preserve">Les maladies infectieuses occupent les 1ers rangs </w:t>
      </w:r>
      <w:r w:rsidR="00BA5B1F" w:rsidRPr="00D21BEF">
        <w:rPr>
          <w:rFonts w:ascii="Times New Roman" w:hAnsi="Times New Roman" w:cs="Times New Roman"/>
          <w:sz w:val="22"/>
          <w:szCs w:val="22"/>
        </w:rPr>
        <w:t>en termes de morbidité pour 2021</w:t>
      </w:r>
      <w:r w:rsidRPr="00D21BEF">
        <w:rPr>
          <w:rFonts w:ascii="Times New Roman" w:hAnsi="Times New Roman" w:cs="Times New Roman"/>
          <w:sz w:val="22"/>
          <w:szCs w:val="22"/>
        </w:rPr>
        <w:t>. Les traumatismes, pathologie non infectieuse sont de plus en plus observés ; de même que les autres maladies non transmissibles comme la malnutrition aiguë (9ème) et les affections cardiovasculaires (12ème rang).</w:t>
      </w:r>
      <w:bookmarkEnd w:id="22"/>
      <w:bookmarkEnd w:id="23"/>
      <w:bookmarkEnd w:id="24"/>
      <w:bookmarkEnd w:id="25"/>
    </w:p>
    <w:p w:rsidR="00BA5B1F" w:rsidRPr="00D21BEF" w:rsidRDefault="00BA5B1F" w:rsidP="00953D8F">
      <w:pPr>
        <w:spacing w:line="276" w:lineRule="auto"/>
        <w:jc w:val="both"/>
        <w:rPr>
          <w:rFonts w:ascii="Times New Roman" w:hAnsi="Times New Roman" w:cs="Times New Roman"/>
          <w:sz w:val="22"/>
          <w:szCs w:val="22"/>
        </w:rPr>
      </w:pPr>
      <w:bookmarkStart w:id="26" w:name="_Toc317138357"/>
      <w:bookmarkStart w:id="27" w:name="_Toc326330381"/>
    </w:p>
    <w:p w:rsidR="00953D8F" w:rsidRPr="00D21BEF" w:rsidRDefault="00953D8F" w:rsidP="008812F0">
      <w:pPr>
        <w:jc w:val="both"/>
        <w:rPr>
          <w:rFonts w:ascii="Times New Roman" w:hAnsi="Times New Roman" w:cs="Times New Roman"/>
          <w:b/>
          <w:sz w:val="22"/>
          <w:szCs w:val="22"/>
        </w:rPr>
      </w:pPr>
      <w:r w:rsidRPr="00D21BEF">
        <w:rPr>
          <w:rFonts w:ascii="Times New Roman" w:hAnsi="Times New Roman" w:cs="Times New Roman"/>
          <w:b/>
          <w:sz w:val="22"/>
          <w:szCs w:val="22"/>
        </w:rPr>
        <w:t>Tableau</w:t>
      </w:r>
      <w:r w:rsidR="00BA5B1F" w:rsidRPr="00D21BEF">
        <w:rPr>
          <w:rFonts w:ascii="Times New Roman" w:hAnsi="Times New Roman" w:cs="Times New Roman"/>
          <w:b/>
          <w:sz w:val="22"/>
          <w:szCs w:val="22"/>
        </w:rPr>
        <w:t xml:space="preserve"> </w:t>
      </w:r>
      <w:r w:rsidR="00330E7D" w:rsidRPr="00D21BEF">
        <w:rPr>
          <w:rFonts w:ascii="Times New Roman" w:hAnsi="Times New Roman" w:cs="Times New Roman"/>
          <w:b/>
          <w:sz w:val="22"/>
          <w:szCs w:val="22"/>
        </w:rPr>
        <w:t>1 :</w:t>
      </w:r>
      <w:r w:rsidRPr="00D21BEF">
        <w:rPr>
          <w:rFonts w:ascii="Times New Roman" w:hAnsi="Times New Roman" w:cs="Times New Roman"/>
          <w:b/>
          <w:sz w:val="22"/>
          <w:szCs w:val="22"/>
        </w:rPr>
        <w:t xml:space="preserve"> Situation des principales </w:t>
      </w:r>
      <w:r w:rsidR="00BA5B1F" w:rsidRPr="00D21BEF">
        <w:rPr>
          <w:rFonts w:ascii="Times New Roman" w:hAnsi="Times New Roman" w:cs="Times New Roman"/>
          <w:b/>
          <w:sz w:val="22"/>
          <w:szCs w:val="22"/>
        </w:rPr>
        <w:t>affections/</w:t>
      </w:r>
      <w:r w:rsidRPr="00D21BEF">
        <w:rPr>
          <w:rFonts w:ascii="Times New Roman" w:hAnsi="Times New Roman" w:cs="Times New Roman"/>
          <w:b/>
          <w:sz w:val="22"/>
          <w:szCs w:val="22"/>
        </w:rPr>
        <w:t xml:space="preserve">maladies par tranche d’âge dans le district sanitaire </w:t>
      </w:r>
      <w:bookmarkEnd w:id="26"/>
      <w:bookmarkEnd w:id="27"/>
      <w:r w:rsidR="00BA5B1F" w:rsidRPr="00D21BEF">
        <w:rPr>
          <w:rFonts w:ascii="Times New Roman" w:hAnsi="Times New Roman" w:cs="Times New Roman"/>
          <w:b/>
          <w:sz w:val="22"/>
          <w:szCs w:val="22"/>
        </w:rPr>
        <w:t>de Kolanga en 2021</w:t>
      </w:r>
    </w:p>
    <w:p w:rsidR="00BA5B1F" w:rsidRPr="00D21BEF" w:rsidRDefault="00BA5B1F">
      <w:pPr>
        <w:rPr>
          <w:rFonts w:ascii="Times New Roman" w:hAnsi="Times New Roman" w:cs="Times New Roman"/>
        </w:rPr>
      </w:pPr>
    </w:p>
    <w:tbl>
      <w:tblPr>
        <w:tblW w:w="334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827"/>
        <w:gridCol w:w="1278"/>
        <w:gridCol w:w="1133"/>
      </w:tblGrid>
      <w:tr w:rsidR="00BA5B1F" w:rsidRPr="00D21BEF" w:rsidTr="00BF0B64">
        <w:trPr>
          <w:trHeight w:val="67"/>
        </w:trPr>
        <w:tc>
          <w:tcPr>
            <w:tcW w:w="3067" w:type="pct"/>
            <w:shd w:val="clear" w:color="auto" w:fill="FFFFFF" w:themeFill="background1"/>
            <w:vAlign w:val="center"/>
          </w:tcPr>
          <w:p w:rsidR="00BA5B1F" w:rsidRPr="00D21BEF" w:rsidRDefault="00BA5B1F" w:rsidP="00BF0B64">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Principales pathologies</w:t>
            </w:r>
          </w:p>
        </w:tc>
        <w:tc>
          <w:tcPr>
            <w:tcW w:w="1024" w:type="pct"/>
            <w:shd w:val="clear" w:color="auto" w:fill="FFFFFF" w:themeFill="background1"/>
            <w:vAlign w:val="center"/>
          </w:tcPr>
          <w:p w:rsidR="00BA5B1F" w:rsidRPr="00D21BEF" w:rsidRDefault="00BA5B1F" w:rsidP="00BF0B64">
            <w:pPr>
              <w:jc w:val="center"/>
              <w:rPr>
                <w:rFonts w:ascii="Times New Roman" w:hAnsi="Times New Roman" w:cs="Times New Roman"/>
                <w:b/>
                <w:sz w:val="22"/>
                <w:szCs w:val="22"/>
              </w:rPr>
            </w:pPr>
            <w:r w:rsidRPr="00D21BEF">
              <w:rPr>
                <w:rFonts w:ascii="Times New Roman" w:hAnsi="Times New Roman" w:cs="Times New Roman"/>
                <w:b/>
                <w:sz w:val="22"/>
                <w:szCs w:val="22"/>
              </w:rPr>
              <w:t>Nombre</w:t>
            </w:r>
          </w:p>
        </w:tc>
        <w:tc>
          <w:tcPr>
            <w:tcW w:w="908" w:type="pct"/>
            <w:shd w:val="clear" w:color="auto" w:fill="FFFFFF" w:themeFill="background1"/>
            <w:noWrap/>
            <w:vAlign w:val="center"/>
          </w:tcPr>
          <w:p w:rsidR="00BA5B1F" w:rsidRPr="00D21BEF" w:rsidRDefault="00BA5B1F" w:rsidP="00BF0B64">
            <w:pPr>
              <w:jc w:val="center"/>
              <w:rPr>
                <w:rFonts w:ascii="Times New Roman" w:hAnsi="Times New Roman" w:cs="Times New Roman"/>
                <w:b/>
                <w:sz w:val="22"/>
                <w:szCs w:val="22"/>
              </w:rPr>
            </w:pPr>
            <w:r w:rsidRPr="00D21BEF">
              <w:rPr>
                <w:rFonts w:ascii="Times New Roman" w:hAnsi="Times New Roman" w:cs="Times New Roman"/>
                <w:b/>
                <w:sz w:val="22"/>
                <w:szCs w:val="22"/>
              </w:rPr>
              <w:t>%</w:t>
            </w:r>
          </w:p>
        </w:tc>
      </w:tr>
      <w:tr w:rsidR="00BA5B1F" w:rsidRPr="00D21BEF" w:rsidTr="00BA5B1F">
        <w:trPr>
          <w:trHeight w:val="317"/>
        </w:trPr>
        <w:tc>
          <w:tcPr>
            <w:tcW w:w="3067" w:type="pct"/>
            <w:shd w:val="clear" w:color="auto" w:fill="FFFFFF" w:themeFill="background1"/>
            <w:vAlign w:val="center"/>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Paludisme</w:t>
            </w:r>
          </w:p>
        </w:tc>
        <w:tc>
          <w:tcPr>
            <w:tcW w:w="1024" w:type="pct"/>
            <w:shd w:val="clear" w:color="auto" w:fill="FFFFFF" w:themeFill="background1"/>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65 092</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44,60%</w:t>
            </w:r>
          </w:p>
        </w:tc>
      </w:tr>
      <w:tr w:rsidR="00BA5B1F" w:rsidRPr="00D21BEF" w:rsidTr="00BA5B1F">
        <w:trPr>
          <w:trHeight w:val="317"/>
        </w:trPr>
        <w:tc>
          <w:tcPr>
            <w:tcW w:w="3067" w:type="pct"/>
            <w:shd w:val="clear" w:color="auto" w:fill="FFFFFF" w:themeFill="background1"/>
            <w:vAlign w:val="center"/>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I</w:t>
            </w:r>
            <w:r w:rsidR="00BF0B64">
              <w:rPr>
                <w:rFonts w:ascii="Times New Roman" w:hAnsi="Times New Roman" w:cs="Times New Roman"/>
                <w:sz w:val="22"/>
                <w:szCs w:val="22"/>
              </w:rPr>
              <w:t xml:space="preserve">nfections </w:t>
            </w:r>
            <w:r w:rsidRPr="00D21BEF">
              <w:rPr>
                <w:rFonts w:ascii="Times New Roman" w:hAnsi="Times New Roman" w:cs="Times New Roman"/>
                <w:sz w:val="22"/>
                <w:szCs w:val="22"/>
              </w:rPr>
              <w:t>R</w:t>
            </w:r>
            <w:r w:rsidR="00BF0B64">
              <w:rPr>
                <w:rFonts w:ascii="Times New Roman" w:hAnsi="Times New Roman" w:cs="Times New Roman"/>
                <w:sz w:val="22"/>
                <w:szCs w:val="22"/>
              </w:rPr>
              <w:t xml:space="preserve">espiratoires </w:t>
            </w:r>
            <w:r w:rsidRPr="00D21BEF">
              <w:rPr>
                <w:rFonts w:ascii="Times New Roman" w:hAnsi="Times New Roman" w:cs="Times New Roman"/>
                <w:sz w:val="22"/>
                <w:szCs w:val="22"/>
              </w:rPr>
              <w:t>A</w:t>
            </w:r>
            <w:r w:rsidR="00BF0B64">
              <w:rPr>
                <w:rFonts w:ascii="Times New Roman" w:hAnsi="Times New Roman" w:cs="Times New Roman"/>
                <w:sz w:val="22"/>
                <w:szCs w:val="22"/>
              </w:rPr>
              <w:t>igues (IRA)</w:t>
            </w:r>
          </w:p>
        </w:tc>
        <w:tc>
          <w:tcPr>
            <w:tcW w:w="1024" w:type="pct"/>
            <w:shd w:val="clear" w:color="auto" w:fill="FFFFFF" w:themeFill="background1"/>
            <w:noWrap/>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32 066</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21,97%</w:t>
            </w:r>
          </w:p>
        </w:tc>
      </w:tr>
      <w:tr w:rsidR="00BA5B1F" w:rsidRPr="00D21BEF" w:rsidTr="00BA5B1F">
        <w:trPr>
          <w:trHeight w:val="317"/>
        </w:trPr>
        <w:tc>
          <w:tcPr>
            <w:tcW w:w="3067" w:type="pct"/>
            <w:shd w:val="clear" w:color="auto" w:fill="FFFFFF" w:themeFill="background1"/>
            <w:vAlign w:val="center"/>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Affection de la peau</w:t>
            </w:r>
          </w:p>
        </w:tc>
        <w:tc>
          <w:tcPr>
            <w:tcW w:w="1024" w:type="pct"/>
            <w:shd w:val="clear" w:color="auto" w:fill="FFFFFF" w:themeFill="background1"/>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11 778</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8,07%</w:t>
            </w:r>
          </w:p>
        </w:tc>
      </w:tr>
      <w:tr w:rsidR="00BA5B1F" w:rsidRPr="00D21BEF" w:rsidTr="00BA5B1F">
        <w:trPr>
          <w:trHeight w:val="317"/>
        </w:trPr>
        <w:tc>
          <w:tcPr>
            <w:tcW w:w="3067" w:type="pct"/>
            <w:shd w:val="clear" w:color="auto" w:fill="FFFFFF" w:themeFill="background1"/>
            <w:vAlign w:val="bottom"/>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Diarrhées</w:t>
            </w:r>
          </w:p>
        </w:tc>
        <w:tc>
          <w:tcPr>
            <w:tcW w:w="1024" w:type="pct"/>
            <w:shd w:val="clear" w:color="auto" w:fill="FFFFFF" w:themeFill="background1"/>
            <w:noWrap/>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5 993</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4,11%</w:t>
            </w:r>
          </w:p>
        </w:tc>
      </w:tr>
      <w:tr w:rsidR="00BA5B1F" w:rsidRPr="00D21BEF" w:rsidTr="00BA5B1F">
        <w:trPr>
          <w:trHeight w:val="317"/>
        </w:trPr>
        <w:tc>
          <w:tcPr>
            <w:tcW w:w="3067" w:type="pct"/>
            <w:shd w:val="clear" w:color="auto" w:fill="FFFFFF" w:themeFill="background1"/>
            <w:vAlign w:val="bottom"/>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Traumatisme</w:t>
            </w:r>
          </w:p>
        </w:tc>
        <w:tc>
          <w:tcPr>
            <w:tcW w:w="1024" w:type="pct"/>
            <w:shd w:val="clear" w:color="auto" w:fill="FFFFFF" w:themeFill="background1"/>
            <w:noWrap/>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4 273</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2,93%</w:t>
            </w:r>
          </w:p>
        </w:tc>
      </w:tr>
      <w:tr w:rsidR="00BA5B1F" w:rsidRPr="00D21BEF" w:rsidTr="00BA5B1F">
        <w:trPr>
          <w:trHeight w:val="187"/>
        </w:trPr>
        <w:tc>
          <w:tcPr>
            <w:tcW w:w="3067" w:type="pct"/>
            <w:shd w:val="clear" w:color="auto" w:fill="FFFFFF" w:themeFill="background1"/>
            <w:vAlign w:val="center"/>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Affections de l'appareil digestif</w:t>
            </w:r>
          </w:p>
        </w:tc>
        <w:tc>
          <w:tcPr>
            <w:tcW w:w="1024" w:type="pct"/>
            <w:shd w:val="clear" w:color="auto" w:fill="FFFFFF" w:themeFill="background1"/>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4 001</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2,74%</w:t>
            </w:r>
          </w:p>
        </w:tc>
      </w:tr>
      <w:tr w:rsidR="00BA5B1F" w:rsidRPr="00D21BEF" w:rsidTr="00BA5B1F">
        <w:trPr>
          <w:trHeight w:val="317"/>
        </w:trPr>
        <w:tc>
          <w:tcPr>
            <w:tcW w:w="3067" w:type="pct"/>
            <w:shd w:val="clear" w:color="auto" w:fill="FFFFFF" w:themeFill="background1"/>
            <w:vAlign w:val="bottom"/>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Parasitoses intestinales</w:t>
            </w:r>
          </w:p>
        </w:tc>
        <w:tc>
          <w:tcPr>
            <w:tcW w:w="1024" w:type="pct"/>
            <w:shd w:val="clear" w:color="auto" w:fill="FFFFFF" w:themeFill="background1"/>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3 889</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2,66%</w:t>
            </w:r>
          </w:p>
        </w:tc>
      </w:tr>
      <w:tr w:rsidR="00BA5B1F" w:rsidRPr="00D21BEF" w:rsidTr="00BA5B1F">
        <w:trPr>
          <w:trHeight w:val="317"/>
        </w:trPr>
        <w:tc>
          <w:tcPr>
            <w:tcW w:w="3067" w:type="pct"/>
            <w:shd w:val="clear" w:color="auto" w:fill="FFFFFF" w:themeFill="background1"/>
            <w:vAlign w:val="center"/>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Affect. App. Ostéo-articulaire</w:t>
            </w:r>
          </w:p>
        </w:tc>
        <w:tc>
          <w:tcPr>
            <w:tcW w:w="1024" w:type="pct"/>
            <w:shd w:val="clear" w:color="auto" w:fill="FFFFFF" w:themeFill="background1"/>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1 809</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1,24%</w:t>
            </w:r>
          </w:p>
        </w:tc>
      </w:tr>
      <w:tr w:rsidR="00BA5B1F" w:rsidRPr="00D21BEF" w:rsidTr="00BA5B1F">
        <w:trPr>
          <w:trHeight w:val="317"/>
        </w:trPr>
        <w:tc>
          <w:tcPr>
            <w:tcW w:w="3067" w:type="pct"/>
            <w:shd w:val="clear" w:color="auto" w:fill="FFFFFF" w:themeFill="background1"/>
            <w:vAlign w:val="center"/>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Malnutrition aigue</w:t>
            </w:r>
          </w:p>
        </w:tc>
        <w:tc>
          <w:tcPr>
            <w:tcW w:w="1024" w:type="pct"/>
            <w:shd w:val="clear" w:color="auto" w:fill="FFFFFF" w:themeFill="background1"/>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1 583</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1,08%</w:t>
            </w:r>
          </w:p>
        </w:tc>
      </w:tr>
      <w:tr w:rsidR="00BA5B1F" w:rsidRPr="00D21BEF" w:rsidTr="00BA5B1F">
        <w:trPr>
          <w:trHeight w:val="347"/>
        </w:trPr>
        <w:tc>
          <w:tcPr>
            <w:tcW w:w="3067" w:type="pct"/>
            <w:shd w:val="clear" w:color="auto" w:fill="FFFFFF" w:themeFill="background1"/>
            <w:vAlign w:val="bottom"/>
            <w:hideMark/>
          </w:tcPr>
          <w:p w:rsidR="00BA5B1F" w:rsidRPr="00D21BEF" w:rsidRDefault="00BA5B1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Affections de l'œil et de ses annexes</w:t>
            </w:r>
          </w:p>
        </w:tc>
        <w:tc>
          <w:tcPr>
            <w:tcW w:w="1024" w:type="pct"/>
            <w:shd w:val="clear" w:color="auto" w:fill="FFFFFF" w:themeFill="background1"/>
            <w:noWrap/>
            <w:vAlign w:val="center"/>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1 484</w:t>
            </w:r>
          </w:p>
        </w:tc>
        <w:tc>
          <w:tcPr>
            <w:tcW w:w="908" w:type="pct"/>
            <w:shd w:val="clear" w:color="auto" w:fill="FFFFFF" w:themeFill="background1"/>
            <w:noWrap/>
            <w:vAlign w:val="center"/>
            <w:hideMark/>
          </w:tcPr>
          <w:p w:rsidR="00BA5B1F" w:rsidRPr="00D21BEF" w:rsidRDefault="00BA5B1F" w:rsidP="00BA5B1F">
            <w:pPr>
              <w:spacing w:line="276" w:lineRule="auto"/>
              <w:jc w:val="right"/>
              <w:rPr>
                <w:rFonts w:ascii="Times New Roman" w:hAnsi="Times New Roman" w:cs="Times New Roman"/>
                <w:sz w:val="22"/>
                <w:szCs w:val="22"/>
              </w:rPr>
            </w:pPr>
            <w:r w:rsidRPr="00D21BEF">
              <w:rPr>
                <w:rFonts w:ascii="Times New Roman" w:hAnsi="Times New Roman" w:cs="Times New Roman"/>
                <w:sz w:val="22"/>
                <w:szCs w:val="22"/>
              </w:rPr>
              <w:t>1,02%</w:t>
            </w:r>
          </w:p>
        </w:tc>
      </w:tr>
    </w:tbl>
    <w:p w:rsidR="00BA5B1F" w:rsidRPr="00D21BEF" w:rsidRDefault="00BA5B1F"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Les affections les plus fréquentes sont le paludisme, les infections respiratoires aiguës, les affections de la peau et les maladies diarrhéiques. La malnutrition, l’une des préoccupations majeures du district entre cette année parmi ces dix principales pathologies. Ces pathologies représentent près de 90% des motifs de consultations.</w:t>
      </w:r>
    </w:p>
    <w:p w:rsidR="00330E7D" w:rsidRPr="00D21BEF" w:rsidRDefault="00330E7D" w:rsidP="00953D8F">
      <w:pPr>
        <w:spacing w:line="276" w:lineRule="auto"/>
        <w:jc w:val="both"/>
        <w:rPr>
          <w:rFonts w:ascii="Times New Roman" w:hAnsi="Times New Roman" w:cs="Times New Roman"/>
          <w:sz w:val="22"/>
          <w:szCs w:val="22"/>
        </w:rPr>
      </w:pPr>
    </w:p>
    <w:p w:rsidR="008812F0" w:rsidRDefault="008812F0" w:rsidP="00953D8F">
      <w:pPr>
        <w:spacing w:line="276" w:lineRule="auto"/>
        <w:jc w:val="both"/>
        <w:rPr>
          <w:rFonts w:ascii="Times New Roman" w:hAnsi="Times New Roman" w:cs="Times New Roman"/>
          <w:sz w:val="22"/>
          <w:szCs w:val="22"/>
        </w:rPr>
      </w:pPr>
    </w:p>
    <w:p w:rsidR="00BF0B64" w:rsidRDefault="00BF0B64" w:rsidP="00953D8F">
      <w:pPr>
        <w:spacing w:line="276" w:lineRule="auto"/>
        <w:jc w:val="both"/>
        <w:rPr>
          <w:rFonts w:ascii="Times New Roman" w:hAnsi="Times New Roman" w:cs="Times New Roman"/>
          <w:sz w:val="22"/>
          <w:szCs w:val="22"/>
        </w:rPr>
      </w:pPr>
    </w:p>
    <w:p w:rsidR="00D21BEF" w:rsidRPr="00D21BEF" w:rsidRDefault="00D21BEF" w:rsidP="00953D8F">
      <w:pPr>
        <w:spacing w:line="276" w:lineRule="auto"/>
        <w:jc w:val="both"/>
        <w:rPr>
          <w:rFonts w:ascii="Times New Roman" w:hAnsi="Times New Roman" w:cs="Times New Roman"/>
          <w:sz w:val="22"/>
          <w:szCs w:val="22"/>
        </w:rPr>
      </w:pPr>
    </w:p>
    <w:p w:rsidR="00953D8F" w:rsidRPr="00D21BEF" w:rsidRDefault="008523E6" w:rsidP="008523E6">
      <w:pPr>
        <w:snapToGrid w:val="0"/>
        <w:spacing w:after="120" w:line="276" w:lineRule="auto"/>
        <w:jc w:val="both"/>
        <w:rPr>
          <w:rFonts w:ascii="Times New Roman" w:hAnsi="Times New Roman" w:cs="Times New Roman"/>
          <w:i/>
          <w:sz w:val="22"/>
          <w:szCs w:val="22"/>
        </w:rPr>
      </w:pPr>
      <w:bookmarkStart w:id="28" w:name="_Toc326392673"/>
      <w:bookmarkStart w:id="29" w:name="_Toc326557769"/>
      <w:bookmarkStart w:id="30" w:name="_Toc423277102"/>
      <w:bookmarkStart w:id="31" w:name="_Toc252842103"/>
      <w:r w:rsidRPr="00D21BEF">
        <w:rPr>
          <w:rFonts w:ascii="Times New Roman" w:hAnsi="Times New Roman" w:cs="Times New Roman"/>
          <w:i/>
          <w:sz w:val="22"/>
          <w:szCs w:val="22"/>
        </w:rPr>
        <w:t xml:space="preserve">2.2. </w:t>
      </w:r>
      <w:r w:rsidR="00953D8F" w:rsidRPr="00D21BEF">
        <w:rPr>
          <w:rFonts w:ascii="Times New Roman" w:hAnsi="Times New Roman" w:cs="Times New Roman"/>
          <w:i/>
          <w:sz w:val="22"/>
          <w:szCs w:val="22"/>
        </w:rPr>
        <w:t>Situation des maladies à potentiel épidémique</w:t>
      </w:r>
      <w:bookmarkEnd w:id="28"/>
      <w:bookmarkEnd w:id="29"/>
      <w:bookmarkEnd w:id="30"/>
    </w:p>
    <w:p w:rsidR="00953D8F" w:rsidRDefault="00953D8F" w:rsidP="00D21BEF">
      <w:pPr>
        <w:snapToGrid w:val="0"/>
        <w:jc w:val="both"/>
        <w:rPr>
          <w:rFonts w:ascii="Times New Roman" w:hAnsi="Times New Roman" w:cs="Times New Roman"/>
          <w:b/>
          <w:sz w:val="22"/>
          <w:szCs w:val="22"/>
        </w:rPr>
      </w:pPr>
      <w:bookmarkStart w:id="32" w:name="_Toc317138358"/>
      <w:bookmarkStart w:id="33" w:name="_Toc326330382"/>
      <w:r w:rsidRPr="00D21BEF">
        <w:rPr>
          <w:rFonts w:ascii="Times New Roman" w:hAnsi="Times New Roman" w:cs="Times New Roman"/>
          <w:b/>
          <w:sz w:val="22"/>
          <w:szCs w:val="22"/>
        </w:rPr>
        <w:t>Tableau</w:t>
      </w:r>
      <w:r w:rsidR="008812F0" w:rsidRPr="00D21BEF">
        <w:rPr>
          <w:rFonts w:ascii="Times New Roman" w:hAnsi="Times New Roman" w:cs="Times New Roman"/>
          <w:b/>
          <w:sz w:val="22"/>
          <w:szCs w:val="22"/>
        </w:rPr>
        <w:t xml:space="preserve"> 2 </w:t>
      </w:r>
      <w:r w:rsidRPr="00D21BEF">
        <w:rPr>
          <w:rFonts w:ascii="Times New Roman" w:hAnsi="Times New Roman" w:cs="Times New Roman"/>
          <w:b/>
          <w:sz w:val="22"/>
          <w:szCs w:val="22"/>
        </w:rPr>
        <w:t>: Situation des maladie</w:t>
      </w:r>
      <w:r w:rsidR="008812F0" w:rsidRPr="00D21BEF">
        <w:rPr>
          <w:rFonts w:ascii="Times New Roman" w:hAnsi="Times New Roman" w:cs="Times New Roman"/>
          <w:b/>
          <w:sz w:val="22"/>
          <w:szCs w:val="22"/>
        </w:rPr>
        <w:t>s à potentiel épidémique de 2019 à 2021</w:t>
      </w:r>
      <w:r w:rsidRPr="00D21BEF">
        <w:rPr>
          <w:rFonts w:ascii="Times New Roman" w:hAnsi="Times New Roman" w:cs="Times New Roman"/>
          <w:b/>
          <w:sz w:val="22"/>
          <w:szCs w:val="22"/>
        </w:rPr>
        <w:t xml:space="preserve"> dans le</w:t>
      </w:r>
      <w:bookmarkEnd w:id="31"/>
      <w:r w:rsidRPr="00D21BEF">
        <w:rPr>
          <w:rFonts w:ascii="Times New Roman" w:hAnsi="Times New Roman" w:cs="Times New Roman"/>
          <w:b/>
          <w:sz w:val="22"/>
          <w:szCs w:val="22"/>
        </w:rPr>
        <w:t xml:space="preserve"> district sanitaire </w:t>
      </w:r>
      <w:bookmarkEnd w:id="32"/>
      <w:bookmarkEnd w:id="33"/>
      <w:r w:rsidR="008812F0" w:rsidRPr="00D21BEF">
        <w:rPr>
          <w:rFonts w:ascii="Times New Roman" w:hAnsi="Times New Roman" w:cs="Times New Roman"/>
          <w:b/>
          <w:sz w:val="22"/>
          <w:szCs w:val="22"/>
        </w:rPr>
        <w:t>de Kolanga</w:t>
      </w:r>
    </w:p>
    <w:p w:rsidR="00D21BEF" w:rsidRPr="00D21BEF" w:rsidRDefault="00D21BEF" w:rsidP="00D21BEF">
      <w:pPr>
        <w:snapToGrid w:val="0"/>
        <w:jc w:val="both"/>
        <w:rPr>
          <w:rFonts w:ascii="Times New Roman" w:hAnsi="Times New Roman" w:cs="Times New Roman"/>
          <w:b/>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695"/>
        <w:gridCol w:w="835"/>
        <w:gridCol w:w="897"/>
        <w:gridCol w:w="779"/>
        <w:gridCol w:w="834"/>
        <w:gridCol w:w="836"/>
        <w:gridCol w:w="834"/>
        <w:gridCol w:w="834"/>
        <w:gridCol w:w="831"/>
      </w:tblGrid>
      <w:tr w:rsidR="00953D8F" w:rsidRPr="00D21BEF" w:rsidTr="008812F0">
        <w:trPr>
          <w:trHeight w:val="20"/>
        </w:trPr>
        <w:tc>
          <w:tcPr>
            <w:tcW w:w="1005" w:type="pct"/>
            <w:vAlign w:val="center"/>
          </w:tcPr>
          <w:p w:rsidR="00953D8F" w:rsidRPr="00D21BEF" w:rsidRDefault="00953D8F" w:rsidP="00953D8F">
            <w:pPr>
              <w:spacing w:line="276" w:lineRule="auto"/>
              <w:jc w:val="both"/>
              <w:rPr>
                <w:rFonts w:ascii="Times New Roman" w:hAnsi="Times New Roman" w:cs="Times New Roman"/>
                <w:b/>
                <w:sz w:val="22"/>
                <w:szCs w:val="22"/>
              </w:rPr>
            </w:pPr>
            <w:r w:rsidRPr="00D21BEF">
              <w:rPr>
                <w:rFonts w:ascii="Times New Roman" w:hAnsi="Times New Roman" w:cs="Times New Roman"/>
                <w:b/>
                <w:sz w:val="22"/>
                <w:szCs w:val="22"/>
              </w:rPr>
              <w:t>Année</w:t>
            </w:r>
          </w:p>
        </w:tc>
        <w:tc>
          <w:tcPr>
            <w:tcW w:w="1314" w:type="pct"/>
            <w:gridSpan w:val="3"/>
            <w:vAlign w:val="center"/>
          </w:tcPr>
          <w:p w:rsidR="00953D8F" w:rsidRPr="00D21BEF" w:rsidRDefault="00953D8F" w:rsidP="008812F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201</w:t>
            </w:r>
            <w:r w:rsidR="008812F0" w:rsidRPr="00D21BEF">
              <w:rPr>
                <w:rFonts w:ascii="Times New Roman" w:hAnsi="Times New Roman" w:cs="Times New Roman"/>
                <w:sz w:val="22"/>
                <w:szCs w:val="22"/>
              </w:rPr>
              <w:t>9</w:t>
            </w:r>
          </w:p>
        </w:tc>
        <w:tc>
          <w:tcPr>
            <w:tcW w:w="1327" w:type="pct"/>
            <w:gridSpan w:val="3"/>
            <w:vAlign w:val="center"/>
          </w:tcPr>
          <w:p w:rsidR="00953D8F" w:rsidRPr="00D21BEF" w:rsidRDefault="008812F0" w:rsidP="008812F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2020</w:t>
            </w:r>
          </w:p>
        </w:tc>
        <w:tc>
          <w:tcPr>
            <w:tcW w:w="1355" w:type="pct"/>
            <w:gridSpan w:val="3"/>
            <w:vAlign w:val="center"/>
          </w:tcPr>
          <w:p w:rsidR="00953D8F" w:rsidRPr="00D21BEF" w:rsidRDefault="008812F0" w:rsidP="008812F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2021</w:t>
            </w:r>
          </w:p>
        </w:tc>
      </w:tr>
      <w:tr w:rsidR="00953D8F" w:rsidRPr="00D21BEF" w:rsidTr="008812F0">
        <w:trPr>
          <w:trHeight w:val="20"/>
        </w:trPr>
        <w:tc>
          <w:tcPr>
            <w:tcW w:w="1005" w:type="pct"/>
            <w:vAlign w:val="center"/>
          </w:tcPr>
          <w:p w:rsidR="00953D8F" w:rsidRPr="00D21BEF" w:rsidRDefault="00953D8F" w:rsidP="00953D8F">
            <w:pPr>
              <w:spacing w:line="276" w:lineRule="auto"/>
              <w:jc w:val="both"/>
              <w:rPr>
                <w:rFonts w:ascii="Times New Roman" w:hAnsi="Times New Roman" w:cs="Times New Roman"/>
                <w:b/>
                <w:sz w:val="22"/>
                <w:szCs w:val="22"/>
              </w:rPr>
            </w:pPr>
            <w:r w:rsidRPr="00D21BEF">
              <w:rPr>
                <w:rFonts w:ascii="Times New Roman" w:hAnsi="Times New Roman" w:cs="Times New Roman"/>
                <w:b/>
                <w:sz w:val="22"/>
                <w:szCs w:val="22"/>
              </w:rPr>
              <w:t>Maladies</w:t>
            </w:r>
          </w:p>
        </w:tc>
        <w:tc>
          <w:tcPr>
            <w:tcW w:w="376"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Cas</w:t>
            </w:r>
          </w:p>
        </w:tc>
        <w:tc>
          <w:tcPr>
            <w:tcW w:w="452"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Décès</w:t>
            </w:r>
          </w:p>
        </w:tc>
        <w:tc>
          <w:tcPr>
            <w:tcW w:w="485"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Létalité</w:t>
            </w:r>
          </w:p>
        </w:tc>
        <w:tc>
          <w:tcPr>
            <w:tcW w:w="422"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Cas</w:t>
            </w:r>
          </w:p>
        </w:tc>
        <w:tc>
          <w:tcPr>
            <w:tcW w:w="452"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Décès</w:t>
            </w:r>
          </w:p>
        </w:tc>
        <w:tc>
          <w:tcPr>
            <w:tcW w:w="453"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Létalité</w:t>
            </w:r>
          </w:p>
        </w:tc>
        <w:tc>
          <w:tcPr>
            <w:tcW w:w="452"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Cas</w:t>
            </w:r>
          </w:p>
        </w:tc>
        <w:tc>
          <w:tcPr>
            <w:tcW w:w="452"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Décès</w:t>
            </w:r>
          </w:p>
        </w:tc>
        <w:tc>
          <w:tcPr>
            <w:tcW w:w="452" w:type="pct"/>
            <w:vAlign w:val="center"/>
          </w:tcPr>
          <w:p w:rsidR="00953D8F" w:rsidRPr="00D21BEF" w:rsidRDefault="00953D8F" w:rsidP="008812F0">
            <w:pPr>
              <w:spacing w:line="276" w:lineRule="auto"/>
              <w:jc w:val="center"/>
              <w:rPr>
                <w:rFonts w:ascii="Times New Roman" w:hAnsi="Times New Roman" w:cs="Times New Roman"/>
                <w:i/>
                <w:sz w:val="18"/>
                <w:szCs w:val="18"/>
              </w:rPr>
            </w:pPr>
            <w:r w:rsidRPr="00D21BEF">
              <w:rPr>
                <w:rFonts w:ascii="Times New Roman" w:hAnsi="Times New Roman" w:cs="Times New Roman"/>
                <w:i/>
                <w:sz w:val="18"/>
                <w:szCs w:val="18"/>
              </w:rPr>
              <w:t>Létalité</w:t>
            </w:r>
          </w:p>
        </w:tc>
      </w:tr>
      <w:tr w:rsidR="00953D8F" w:rsidRPr="00D21BEF" w:rsidTr="008812F0">
        <w:trPr>
          <w:trHeight w:val="20"/>
        </w:trPr>
        <w:tc>
          <w:tcPr>
            <w:tcW w:w="1005" w:type="pct"/>
          </w:tcPr>
          <w:p w:rsidR="00953D8F" w:rsidRPr="007B68A3" w:rsidRDefault="00953D8F" w:rsidP="00953D8F">
            <w:pPr>
              <w:spacing w:line="276" w:lineRule="auto"/>
              <w:jc w:val="both"/>
              <w:rPr>
                <w:rFonts w:ascii="Times New Roman" w:hAnsi="Times New Roman" w:cs="Times New Roman"/>
                <w:sz w:val="22"/>
                <w:szCs w:val="22"/>
              </w:rPr>
            </w:pPr>
            <w:r w:rsidRPr="007B68A3">
              <w:rPr>
                <w:rFonts w:ascii="Times New Roman" w:hAnsi="Times New Roman" w:cs="Times New Roman"/>
                <w:sz w:val="22"/>
                <w:szCs w:val="22"/>
              </w:rPr>
              <w:t xml:space="preserve">Choléra </w:t>
            </w:r>
          </w:p>
        </w:tc>
        <w:tc>
          <w:tcPr>
            <w:tcW w:w="376"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39</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02</w:t>
            </w:r>
          </w:p>
        </w:tc>
        <w:tc>
          <w:tcPr>
            <w:tcW w:w="485"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5,13</w:t>
            </w:r>
          </w:p>
        </w:tc>
        <w:tc>
          <w:tcPr>
            <w:tcW w:w="42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453"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w:t>
            </w:r>
          </w:p>
        </w:tc>
      </w:tr>
      <w:tr w:rsidR="00953D8F" w:rsidRPr="00D21BEF" w:rsidTr="008812F0">
        <w:trPr>
          <w:trHeight w:val="20"/>
        </w:trPr>
        <w:tc>
          <w:tcPr>
            <w:tcW w:w="1005" w:type="pct"/>
          </w:tcPr>
          <w:p w:rsidR="00953D8F" w:rsidRPr="007B68A3" w:rsidRDefault="00953D8F" w:rsidP="00953D8F">
            <w:pPr>
              <w:spacing w:line="276" w:lineRule="auto"/>
              <w:jc w:val="both"/>
              <w:rPr>
                <w:rFonts w:ascii="Times New Roman" w:hAnsi="Times New Roman" w:cs="Times New Roman"/>
                <w:sz w:val="22"/>
                <w:szCs w:val="22"/>
              </w:rPr>
            </w:pPr>
            <w:r w:rsidRPr="007B68A3">
              <w:rPr>
                <w:rFonts w:ascii="Times New Roman" w:hAnsi="Times New Roman" w:cs="Times New Roman"/>
                <w:sz w:val="22"/>
                <w:szCs w:val="22"/>
              </w:rPr>
              <w:t xml:space="preserve">Méningite </w:t>
            </w:r>
          </w:p>
        </w:tc>
        <w:tc>
          <w:tcPr>
            <w:tcW w:w="376"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09</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85"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c>
          <w:tcPr>
            <w:tcW w:w="42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12</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01</w:t>
            </w:r>
          </w:p>
        </w:tc>
        <w:tc>
          <w:tcPr>
            <w:tcW w:w="453"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8,33</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26</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04</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15,38</w:t>
            </w:r>
          </w:p>
        </w:tc>
      </w:tr>
      <w:tr w:rsidR="00953D8F" w:rsidRPr="00D21BEF" w:rsidTr="008812F0">
        <w:trPr>
          <w:trHeight w:val="20"/>
        </w:trPr>
        <w:tc>
          <w:tcPr>
            <w:tcW w:w="1005" w:type="pct"/>
          </w:tcPr>
          <w:p w:rsidR="00953D8F" w:rsidRPr="007B68A3" w:rsidRDefault="00953D8F" w:rsidP="00953D8F">
            <w:pPr>
              <w:spacing w:line="276" w:lineRule="auto"/>
              <w:jc w:val="both"/>
              <w:rPr>
                <w:rFonts w:ascii="Times New Roman" w:hAnsi="Times New Roman" w:cs="Times New Roman"/>
                <w:sz w:val="22"/>
                <w:szCs w:val="22"/>
              </w:rPr>
            </w:pPr>
            <w:r w:rsidRPr="007B68A3">
              <w:rPr>
                <w:rFonts w:ascii="Times New Roman" w:hAnsi="Times New Roman" w:cs="Times New Roman"/>
                <w:sz w:val="22"/>
                <w:szCs w:val="22"/>
              </w:rPr>
              <w:t>Ictère fébrile</w:t>
            </w:r>
          </w:p>
        </w:tc>
        <w:tc>
          <w:tcPr>
            <w:tcW w:w="376"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85"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w:t>
            </w:r>
          </w:p>
        </w:tc>
        <w:tc>
          <w:tcPr>
            <w:tcW w:w="42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01</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3"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06</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r>
      <w:tr w:rsidR="00953D8F" w:rsidRPr="00D21BEF" w:rsidTr="008812F0">
        <w:trPr>
          <w:trHeight w:val="20"/>
        </w:trPr>
        <w:tc>
          <w:tcPr>
            <w:tcW w:w="1005" w:type="pct"/>
          </w:tcPr>
          <w:p w:rsidR="00953D8F" w:rsidRPr="007B68A3" w:rsidRDefault="008812F0" w:rsidP="00953D8F">
            <w:pPr>
              <w:spacing w:line="276" w:lineRule="auto"/>
              <w:jc w:val="both"/>
              <w:rPr>
                <w:rFonts w:ascii="Times New Roman" w:hAnsi="Times New Roman" w:cs="Times New Roman"/>
                <w:sz w:val="22"/>
                <w:szCs w:val="22"/>
              </w:rPr>
            </w:pPr>
            <w:r w:rsidRPr="007B68A3">
              <w:rPr>
                <w:rFonts w:ascii="Times New Roman" w:hAnsi="Times New Roman" w:cs="Times New Roman"/>
                <w:sz w:val="22"/>
                <w:szCs w:val="22"/>
              </w:rPr>
              <w:t>Sanguinolentes</w:t>
            </w:r>
          </w:p>
        </w:tc>
        <w:tc>
          <w:tcPr>
            <w:tcW w:w="376"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01</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85"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c>
          <w:tcPr>
            <w:tcW w:w="42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05</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3"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w:t>
            </w:r>
          </w:p>
        </w:tc>
      </w:tr>
      <w:tr w:rsidR="00953D8F" w:rsidRPr="00D21BEF" w:rsidTr="008812F0">
        <w:trPr>
          <w:trHeight w:val="20"/>
        </w:trPr>
        <w:tc>
          <w:tcPr>
            <w:tcW w:w="1005" w:type="pct"/>
          </w:tcPr>
          <w:p w:rsidR="00953D8F" w:rsidRPr="007B68A3" w:rsidRDefault="00953D8F" w:rsidP="00953D8F">
            <w:pPr>
              <w:spacing w:line="276" w:lineRule="auto"/>
              <w:jc w:val="both"/>
              <w:rPr>
                <w:rFonts w:ascii="Times New Roman" w:hAnsi="Times New Roman" w:cs="Times New Roman"/>
                <w:sz w:val="22"/>
                <w:szCs w:val="22"/>
              </w:rPr>
            </w:pPr>
            <w:r w:rsidRPr="007B68A3">
              <w:rPr>
                <w:rFonts w:ascii="Times New Roman" w:hAnsi="Times New Roman" w:cs="Times New Roman"/>
                <w:sz w:val="22"/>
                <w:szCs w:val="22"/>
              </w:rPr>
              <w:t>F. typhoïde</w:t>
            </w:r>
          </w:p>
        </w:tc>
        <w:tc>
          <w:tcPr>
            <w:tcW w:w="376"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201</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85"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c>
          <w:tcPr>
            <w:tcW w:w="42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417</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3"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686</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w:t>
            </w:r>
          </w:p>
        </w:tc>
        <w:tc>
          <w:tcPr>
            <w:tcW w:w="452" w:type="pct"/>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0,00</w:t>
            </w:r>
          </w:p>
        </w:tc>
      </w:tr>
    </w:tbl>
    <w:p w:rsidR="008812F0" w:rsidRPr="00D21BEF" w:rsidRDefault="008812F0" w:rsidP="00953D8F">
      <w:pPr>
        <w:spacing w:line="276" w:lineRule="auto"/>
        <w:jc w:val="both"/>
        <w:rPr>
          <w:rFonts w:ascii="Times New Roman" w:hAnsi="Times New Roman" w:cs="Times New Roman"/>
          <w:sz w:val="22"/>
          <w:szCs w:val="22"/>
        </w:rPr>
      </w:pPr>
    </w:p>
    <w:p w:rsidR="008812F0"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 renforcement des activités de surveillance épidémiologi</w:t>
      </w:r>
      <w:r w:rsidR="008812F0" w:rsidRPr="00D21BEF">
        <w:rPr>
          <w:rFonts w:ascii="Times New Roman" w:hAnsi="Times New Roman" w:cs="Times New Roman"/>
          <w:sz w:val="22"/>
          <w:szCs w:val="22"/>
        </w:rPr>
        <w:t>que a permis de notifier en 2021</w:t>
      </w:r>
      <w:r w:rsidRPr="00D21BEF">
        <w:rPr>
          <w:rFonts w:ascii="Times New Roman" w:hAnsi="Times New Roman" w:cs="Times New Roman"/>
          <w:sz w:val="22"/>
          <w:szCs w:val="22"/>
        </w:rPr>
        <w:t xml:space="preserve">, 6 cas d’ictère fébrile. Les prélèvements ont été effectués et acheminés au laboratoire de référence et les résultats se sont révélés négatifs. </w:t>
      </w:r>
      <w:r w:rsidR="008812F0" w:rsidRPr="00D21BEF">
        <w:rPr>
          <w:rFonts w:ascii="Times New Roman" w:hAnsi="Times New Roman" w:cs="Times New Roman"/>
          <w:sz w:val="22"/>
          <w:szCs w:val="22"/>
        </w:rPr>
        <w:t>Depuis 2019</w:t>
      </w:r>
      <w:r w:rsidRPr="00D21BEF">
        <w:rPr>
          <w:rFonts w:ascii="Times New Roman" w:hAnsi="Times New Roman" w:cs="Times New Roman"/>
          <w:sz w:val="22"/>
          <w:szCs w:val="22"/>
        </w:rPr>
        <w:t>, on note une augmentation du nombre de cas de méningite malgré la</w:t>
      </w:r>
      <w:r w:rsidR="008812F0" w:rsidRPr="00D21BEF">
        <w:rPr>
          <w:rFonts w:ascii="Times New Roman" w:hAnsi="Times New Roman" w:cs="Times New Roman"/>
          <w:sz w:val="22"/>
          <w:szCs w:val="22"/>
        </w:rPr>
        <w:t xml:space="preserve"> vaccination MenAfriVac. En 2021</w:t>
      </w:r>
      <w:r w:rsidRPr="00D21BEF">
        <w:rPr>
          <w:rFonts w:ascii="Times New Roman" w:hAnsi="Times New Roman" w:cs="Times New Roman"/>
          <w:sz w:val="22"/>
          <w:szCs w:val="22"/>
        </w:rPr>
        <w:t>, 26 cas suspects de méningite ont été notifiés dont 04 décès soi</w:t>
      </w:r>
      <w:r w:rsidR="005B7F50">
        <w:rPr>
          <w:rFonts w:ascii="Times New Roman" w:hAnsi="Times New Roman" w:cs="Times New Roman"/>
          <w:sz w:val="22"/>
          <w:szCs w:val="22"/>
        </w:rPr>
        <w:t>t une létalité élevée de 15,38%</w:t>
      </w:r>
      <w:r w:rsidRPr="00D21BEF">
        <w:rPr>
          <w:rFonts w:ascii="Times New Roman" w:hAnsi="Times New Roman" w:cs="Times New Roman"/>
          <w:sz w:val="22"/>
          <w:szCs w:val="22"/>
        </w:rPr>
        <w:t>.</w:t>
      </w:r>
      <w:r w:rsidR="008812F0" w:rsidRPr="00D21BEF">
        <w:rPr>
          <w:rFonts w:ascii="Times New Roman" w:hAnsi="Times New Roman" w:cs="Times New Roman"/>
          <w:sz w:val="22"/>
          <w:szCs w:val="22"/>
        </w:rPr>
        <w:t xml:space="preserve"> </w:t>
      </w:r>
      <w:r w:rsidRPr="00D21BEF">
        <w:rPr>
          <w:rFonts w:ascii="Times New Roman" w:hAnsi="Times New Roman" w:cs="Times New Roman"/>
          <w:sz w:val="22"/>
          <w:szCs w:val="22"/>
        </w:rPr>
        <w:t>Le nombre de cas suspects de fièvre typhoïde, maladie du péril fécal est e</w:t>
      </w:r>
      <w:r w:rsidR="008812F0" w:rsidRPr="00D21BEF">
        <w:rPr>
          <w:rFonts w:ascii="Times New Roman" w:hAnsi="Times New Roman" w:cs="Times New Roman"/>
          <w:sz w:val="22"/>
          <w:szCs w:val="22"/>
        </w:rPr>
        <w:t>n nette augmentation depuis 2019</w:t>
      </w:r>
      <w:r w:rsidRPr="00D21BEF">
        <w:rPr>
          <w:rFonts w:ascii="Times New Roman" w:hAnsi="Times New Roman" w:cs="Times New Roman"/>
          <w:sz w:val="22"/>
          <w:szCs w:val="22"/>
        </w:rPr>
        <w:t xml:space="preserve">. </w:t>
      </w:r>
      <w:bookmarkStart w:id="34" w:name="_Toc326392674"/>
      <w:bookmarkStart w:id="35" w:name="_Toc326557770"/>
    </w:p>
    <w:p w:rsidR="008812F0" w:rsidRPr="00D21BEF" w:rsidRDefault="008812F0" w:rsidP="00953D8F">
      <w:pPr>
        <w:spacing w:line="276" w:lineRule="auto"/>
        <w:jc w:val="both"/>
        <w:rPr>
          <w:rFonts w:ascii="Times New Roman" w:hAnsi="Times New Roman" w:cs="Times New Roman"/>
          <w:sz w:val="22"/>
          <w:szCs w:val="22"/>
        </w:rPr>
      </w:pPr>
    </w:p>
    <w:p w:rsidR="00953D8F" w:rsidRPr="00D21BEF" w:rsidRDefault="008812F0" w:rsidP="008812F0">
      <w:pPr>
        <w:snapToGrid w:val="0"/>
        <w:spacing w:after="120" w:line="276" w:lineRule="auto"/>
        <w:jc w:val="both"/>
        <w:rPr>
          <w:rFonts w:ascii="Times New Roman" w:hAnsi="Times New Roman" w:cs="Times New Roman"/>
          <w:i/>
          <w:sz w:val="22"/>
          <w:szCs w:val="22"/>
        </w:rPr>
      </w:pPr>
      <w:bookmarkStart w:id="36" w:name="_Toc284411731"/>
      <w:bookmarkStart w:id="37" w:name="_Toc316331250"/>
      <w:bookmarkStart w:id="38" w:name="_Toc316331311"/>
      <w:bookmarkStart w:id="39" w:name="_Toc316331371"/>
      <w:bookmarkStart w:id="40" w:name="_Toc316331514"/>
      <w:bookmarkStart w:id="41" w:name="_Toc316331574"/>
      <w:bookmarkStart w:id="42" w:name="_Toc316331858"/>
      <w:bookmarkStart w:id="43" w:name="_Toc316332036"/>
      <w:bookmarkStart w:id="44" w:name="_Toc316332137"/>
      <w:bookmarkEnd w:id="34"/>
      <w:bookmarkEnd w:id="35"/>
      <w:r w:rsidRPr="00D21BEF">
        <w:rPr>
          <w:rFonts w:ascii="Times New Roman" w:hAnsi="Times New Roman" w:cs="Times New Roman"/>
          <w:i/>
          <w:sz w:val="22"/>
          <w:szCs w:val="22"/>
        </w:rPr>
        <w:t xml:space="preserve">2.3. Les </w:t>
      </w:r>
      <w:r w:rsidR="00953D8F" w:rsidRPr="00D21BEF">
        <w:rPr>
          <w:rFonts w:ascii="Times New Roman" w:hAnsi="Times New Roman" w:cs="Times New Roman"/>
          <w:i/>
          <w:sz w:val="22"/>
          <w:szCs w:val="22"/>
        </w:rPr>
        <w:t>I</w:t>
      </w:r>
      <w:r w:rsidRPr="00D21BEF">
        <w:rPr>
          <w:rFonts w:ascii="Times New Roman" w:hAnsi="Times New Roman" w:cs="Times New Roman"/>
          <w:i/>
          <w:sz w:val="22"/>
          <w:szCs w:val="22"/>
        </w:rPr>
        <w:t xml:space="preserve">nfections </w:t>
      </w:r>
      <w:r w:rsidR="00953D8F" w:rsidRPr="00D21BEF">
        <w:rPr>
          <w:rFonts w:ascii="Times New Roman" w:hAnsi="Times New Roman" w:cs="Times New Roman"/>
          <w:i/>
          <w:sz w:val="22"/>
          <w:szCs w:val="22"/>
        </w:rPr>
        <w:t>S</w:t>
      </w:r>
      <w:r w:rsidRPr="00D21BEF">
        <w:rPr>
          <w:rFonts w:ascii="Times New Roman" w:hAnsi="Times New Roman" w:cs="Times New Roman"/>
          <w:i/>
          <w:sz w:val="22"/>
          <w:szCs w:val="22"/>
        </w:rPr>
        <w:t xml:space="preserve">exuellement </w:t>
      </w:r>
      <w:r w:rsidR="00953D8F" w:rsidRPr="00D21BEF">
        <w:rPr>
          <w:rFonts w:ascii="Times New Roman" w:hAnsi="Times New Roman" w:cs="Times New Roman"/>
          <w:i/>
          <w:sz w:val="22"/>
          <w:szCs w:val="22"/>
        </w:rPr>
        <w:t>T</w:t>
      </w:r>
      <w:bookmarkEnd w:id="36"/>
      <w:bookmarkEnd w:id="37"/>
      <w:bookmarkEnd w:id="38"/>
      <w:bookmarkEnd w:id="39"/>
      <w:bookmarkEnd w:id="40"/>
      <w:bookmarkEnd w:id="41"/>
      <w:bookmarkEnd w:id="42"/>
      <w:bookmarkEnd w:id="43"/>
      <w:bookmarkEnd w:id="44"/>
      <w:r w:rsidRPr="00D21BEF">
        <w:rPr>
          <w:rFonts w:ascii="Times New Roman" w:hAnsi="Times New Roman" w:cs="Times New Roman"/>
          <w:i/>
          <w:sz w:val="22"/>
          <w:szCs w:val="22"/>
        </w:rPr>
        <w:t>ransmissibles (IST) &amp; VIH</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Les manifestations cliniques des IST sont polymorphes. Le tableau suivant donne la</w:t>
      </w:r>
      <w:r w:rsidR="008812F0" w:rsidRPr="00D21BEF">
        <w:rPr>
          <w:rFonts w:ascii="Times New Roman" w:hAnsi="Times New Roman" w:cs="Times New Roman"/>
          <w:sz w:val="22"/>
          <w:szCs w:val="22"/>
        </w:rPr>
        <w:t xml:space="preserve"> situation des cas d’IST de 2019 à 2021</w:t>
      </w:r>
      <w:r w:rsidRPr="00D21BEF">
        <w:rPr>
          <w:rFonts w:ascii="Times New Roman" w:hAnsi="Times New Roman" w:cs="Times New Roman"/>
          <w:sz w:val="22"/>
          <w:szCs w:val="22"/>
        </w:rPr>
        <w:t>.</w:t>
      </w:r>
      <w:bookmarkStart w:id="45" w:name="_Toc252842107"/>
    </w:p>
    <w:p w:rsidR="008812F0" w:rsidRPr="00D21BEF" w:rsidRDefault="008812F0" w:rsidP="00D21BEF">
      <w:pPr>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b/>
          <w:sz w:val="22"/>
          <w:szCs w:val="22"/>
        </w:rPr>
      </w:pPr>
      <w:bookmarkStart w:id="46" w:name="_Toc317138362"/>
      <w:bookmarkStart w:id="47" w:name="_Toc326330386"/>
      <w:r w:rsidRPr="00D21BEF">
        <w:rPr>
          <w:rFonts w:ascii="Times New Roman" w:hAnsi="Times New Roman" w:cs="Times New Roman"/>
          <w:b/>
          <w:sz w:val="22"/>
          <w:szCs w:val="22"/>
        </w:rPr>
        <w:t>Tablea</w:t>
      </w:r>
      <w:r w:rsidR="008812F0" w:rsidRPr="00D21BEF">
        <w:rPr>
          <w:rFonts w:ascii="Times New Roman" w:hAnsi="Times New Roman" w:cs="Times New Roman"/>
          <w:b/>
          <w:sz w:val="22"/>
          <w:szCs w:val="22"/>
        </w:rPr>
        <w:t>u 3 :</w:t>
      </w:r>
      <w:r w:rsidRPr="00D21BEF">
        <w:rPr>
          <w:rFonts w:ascii="Times New Roman" w:hAnsi="Times New Roman" w:cs="Times New Roman"/>
          <w:b/>
          <w:sz w:val="22"/>
          <w:szCs w:val="22"/>
        </w:rPr>
        <w:t xml:space="preserve"> Répartition des cas d’IST par t</w:t>
      </w:r>
      <w:r w:rsidR="008812F0" w:rsidRPr="00D21BEF">
        <w:rPr>
          <w:rFonts w:ascii="Times New Roman" w:hAnsi="Times New Roman" w:cs="Times New Roman"/>
          <w:b/>
          <w:sz w:val="22"/>
          <w:szCs w:val="22"/>
        </w:rPr>
        <w:t>ranche d’âge et par sexe de 2019</w:t>
      </w:r>
      <w:r w:rsidRPr="00D21BEF">
        <w:rPr>
          <w:rFonts w:ascii="Times New Roman" w:hAnsi="Times New Roman" w:cs="Times New Roman"/>
          <w:b/>
          <w:sz w:val="22"/>
          <w:szCs w:val="22"/>
        </w:rPr>
        <w:t xml:space="preserve"> à 20</w:t>
      </w:r>
      <w:bookmarkEnd w:id="45"/>
      <w:bookmarkEnd w:id="46"/>
      <w:bookmarkEnd w:id="47"/>
      <w:r w:rsidR="008812F0" w:rsidRPr="00D21BEF">
        <w:rPr>
          <w:rFonts w:ascii="Times New Roman" w:hAnsi="Times New Roman" w:cs="Times New Roman"/>
          <w:b/>
          <w:sz w:val="22"/>
          <w:szCs w:val="22"/>
        </w:rPr>
        <w:t>21</w:t>
      </w:r>
      <w:r w:rsidRPr="00D21BEF">
        <w:rPr>
          <w:rFonts w:ascii="Times New Roman" w:hAnsi="Times New Roman" w:cs="Times New Roman"/>
          <w:b/>
          <w:sz w:val="22"/>
          <w:szCs w:val="22"/>
        </w:rPr>
        <w:t xml:space="preserve"> au DS de </w:t>
      </w:r>
      <w:r w:rsidR="008812F0" w:rsidRPr="00D21BEF">
        <w:rPr>
          <w:rFonts w:ascii="Times New Roman" w:hAnsi="Times New Roman" w:cs="Times New Roman"/>
          <w:b/>
          <w:sz w:val="22"/>
          <w:szCs w:val="22"/>
        </w:rPr>
        <w:t>Kolanga</w:t>
      </w:r>
    </w:p>
    <w:tbl>
      <w:tblPr>
        <w:tblW w:w="9067" w:type="dxa"/>
        <w:tblInd w:w="55" w:type="dxa"/>
        <w:tblCellMar>
          <w:left w:w="70" w:type="dxa"/>
          <w:right w:w="70" w:type="dxa"/>
        </w:tblCellMar>
        <w:tblLook w:val="04A0" w:firstRow="1" w:lastRow="0" w:firstColumn="1" w:lastColumn="0" w:noHBand="0" w:noVBand="1"/>
      </w:tblPr>
      <w:tblGrid>
        <w:gridCol w:w="3137"/>
        <w:gridCol w:w="919"/>
        <w:gridCol w:w="919"/>
        <w:gridCol w:w="1127"/>
        <w:gridCol w:w="1127"/>
        <w:gridCol w:w="919"/>
        <w:gridCol w:w="919"/>
      </w:tblGrid>
      <w:tr w:rsidR="00953D8F" w:rsidRPr="00D21BEF" w:rsidTr="00D21BEF">
        <w:trPr>
          <w:trHeight w:val="57"/>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53D8F" w:rsidRPr="00D21BEF" w:rsidRDefault="00953D8F" w:rsidP="008812F0">
            <w:pPr>
              <w:snapToGrid w:val="0"/>
              <w:jc w:val="both"/>
              <w:rPr>
                <w:rFonts w:ascii="Times New Roman" w:hAnsi="Times New Roman" w:cs="Times New Roman"/>
                <w:b/>
                <w:sz w:val="22"/>
                <w:szCs w:val="22"/>
              </w:rPr>
            </w:pPr>
            <w:r w:rsidRPr="00D21BEF">
              <w:rPr>
                <w:rFonts w:ascii="Times New Roman" w:hAnsi="Times New Roman" w:cs="Times New Roman"/>
                <w:b/>
                <w:sz w:val="22"/>
                <w:szCs w:val="22"/>
              </w:rPr>
              <w:t>Tranche d’âge</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953D8F" w:rsidRPr="00D21BEF" w:rsidRDefault="00953D8F" w:rsidP="008812F0">
            <w:pPr>
              <w:snapToGrid w:val="0"/>
              <w:jc w:val="center"/>
              <w:rPr>
                <w:rFonts w:ascii="Times New Roman" w:hAnsi="Times New Roman" w:cs="Times New Roman"/>
                <w:b/>
                <w:sz w:val="22"/>
                <w:szCs w:val="22"/>
              </w:rPr>
            </w:pPr>
            <w:r w:rsidRPr="00D21BEF">
              <w:rPr>
                <w:rFonts w:ascii="Times New Roman" w:hAnsi="Times New Roman" w:cs="Times New Roman"/>
                <w:b/>
                <w:sz w:val="22"/>
                <w:szCs w:val="22"/>
              </w:rPr>
              <w:t>201</w:t>
            </w:r>
            <w:r w:rsidR="008812F0" w:rsidRPr="00D21BEF">
              <w:rPr>
                <w:rFonts w:ascii="Times New Roman" w:hAnsi="Times New Roman" w:cs="Times New Roman"/>
                <w:b/>
                <w:sz w:val="22"/>
                <w:szCs w:val="22"/>
              </w:rPr>
              <w:t>9</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953D8F" w:rsidRPr="00D21BEF" w:rsidRDefault="008812F0" w:rsidP="008812F0">
            <w:pPr>
              <w:snapToGrid w:val="0"/>
              <w:jc w:val="center"/>
              <w:rPr>
                <w:rFonts w:ascii="Times New Roman" w:hAnsi="Times New Roman" w:cs="Times New Roman"/>
                <w:b/>
                <w:sz w:val="22"/>
                <w:szCs w:val="22"/>
              </w:rPr>
            </w:pPr>
            <w:r w:rsidRPr="00D21BEF">
              <w:rPr>
                <w:rFonts w:ascii="Times New Roman" w:hAnsi="Times New Roman" w:cs="Times New Roman"/>
                <w:b/>
                <w:sz w:val="22"/>
                <w:szCs w:val="22"/>
              </w:rPr>
              <w:t>2020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953D8F" w:rsidRPr="00D21BEF" w:rsidRDefault="008812F0" w:rsidP="008812F0">
            <w:pPr>
              <w:snapToGrid w:val="0"/>
              <w:jc w:val="center"/>
              <w:rPr>
                <w:rFonts w:ascii="Times New Roman" w:hAnsi="Times New Roman" w:cs="Times New Roman"/>
                <w:b/>
                <w:sz w:val="22"/>
                <w:szCs w:val="22"/>
              </w:rPr>
            </w:pPr>
            <w:r w:rsidRPr="00D21BEF">
              <w:rPr>
                <w:rFonts w:ascii="Times New Roman" w:hAnsi="Times New Roman" w:cs="Times New Roman"/>
                <w:b/>
                <w:sz w:val="22"/>
                <w:szCs w:val="22"/>
              </w:rPr>
              <w:t>2021</w:t>
            </w:r>
          </w:p>
        </w:tc>
      </w:tr>
      <w:tr w:rsidR="00953D8F" w:rsidRPr="00D21BEF" w:rsidTr="008812F0">
        <w:trPr>
          <w:trHeight w:val="5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53D8F" w:rsidRPr="00D21BEF" w:rsidRDefault="00953D8F" w:rsidP="008812F0">
            <w:pPr>
              <w:snapToGrid w:val="0"/>
              <w:jc w:val="both"/>
              <w:rPr>
                <w:rFonts w:ascii="Times New Roman" w:hAnsi="Times New Roman" w:cs="Times New Roman"/>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i/>
                <w:sz w:val="20"/>
                <w:szCs w:val="20"/>
              </w:rPr>
            </w:pPr>
            <w:r w:rsidRPr="00D21BEF">
              <w:rPr>
                <w:rFonts w:ascii="Times New Roman" w:hAnsi="Times New Roman" w:cs="Times New Roman"/>
                <w:i/>
                <w:sz w:val="20"/>
                <w:szCs w:val="20"/>
              </w:rPr>
              <w:t>M</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i/>
                <w:sz w:val="20"/>
                <w:szCs w:val="20"/>
              </w:rPr>
            </w:pPr>
            <w:r w:rsidRPr="00D21BEF">
              <w:rPr>
                <w:rFonts w:ascii="Times New Roman" w:hAnsi="Times New Roman" w:cs="Times New Roman"/>
                <w:i/>
                <w:sz w:val="20"/>
                <w:szCs w:val="20"/>
              </w:rPr>
              <w:t>F</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i/>
                <w:sz w:val="20"/>
                <w:szCs w:val="20"/>
              </w:rPr>
            </w:pPr>
            <w:r w:rsidRPr="00D21BEF">
              <w:rPr>
                <w:rFonts w:ascii="Times New Roman" w:hAnsi="Times New Roman" w:cs="Times New Roman"/>
                <w:i/>
                <w:sz w:val="20"/>
                <w:szCs w:val="20"/>
              </w:rPr>
              <w:t>M</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i/>
                <w:sz w:val="20"/>
                <w:szCs w:val="20"/>
              </w:rPr>
            </w:pPr>
            <w:r w:rsidRPr="00D21BEF">
              <w:rPr>
                <w:rFonts w:ascii="Times New Roman" w:hAnsi="Times New Roman" w:cs="Times New Roman"/>
                <w:i/>
                <w:sz w:val="20"/>
                <w:szCs w:val="20"/>
              </w:rPr>
              <w:t>F</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i/>
                <w:sz w:val="20"/>
                <w:szCs w:val="20"/>
              </w:rPr>
            </w:pPr>
            <w:r w:rsidRPr="00D21BEF">
              <w:rPr>
                <w:rFonts w:ascii="Times New Roman" w:hAnsi="Times New Roman" w:cs="Times New Roman"/>
                <w:i/>
                <w:sz w:val="20"/>
                <w:szCs w:val="20"/>
              </w:rPr>
              <w:t>M</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i/>
                <w:sz w:val="20"/>
                <w:szCs w:val="20"/>
              </w:rPr>
            </w:pPr>
            <w:r w:rsidRPr="00D21BEF">
              <w:rPr>
                <w:rFonts w:ascii="Times New Roman" w:hAnsi="Times New Roman" w:cs="Times New Roman"/>
                <w:i/>
                <w:sz w:val="20"/>
                <w:szCs w:val="20"/>
              </w:rPr>
              <w:t>F</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Moins de 1 an</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13</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11</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4</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1-4 ans</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0</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0</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5-14 ans</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16</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60</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76</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4</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10</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15-19 ans</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23</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146</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162</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267</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51</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166</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20-29 ans</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175</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389</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398</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415</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174</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263</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30-39 ans</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186</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259</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465</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510</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307</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400</w:t>
            </w:r>
          </w:p>
        </w:tc>
      </w:tr>
      <w:tr w:rsidR="00953D8F" w:rsidRPr="00D21BEF" w:rsidTr="008812F0">
        <w:trPr>
          <w:trHeight w:val="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7B68A3" w:rsidRDefault="00953D8F" w:rsidP="008812F0">
            <w:pPr>
              <w:snapToGrid w:val="0"/>
              <w:jc w:val="both"/>
              <w:rPr>
                <w:rFonts w:ascii="Times New Roman" w:hAnsi="Times New Roman" w:cs="Times New Roman"/>
                <w:sz w:val="20"/>
                <w:szCs w:val="20"/>
              </w:rPr>
            </w:pPr>
            <w:r w:rsidRPr="007B68A3">
              <w:rPr>
                <w:rFonts w:ascii="Times New Roman" w:hAnsi="Times New Roman" w:cs="Times New Roman"/>
                <w:sz w:val="20"/>
                <w:szCs w:val="20"/>
              </w:rPr>
              <w:t>40ans et plus</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96</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77</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108</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185</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30</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sz w:val="20"/>
                <w:szCs w:val="20"/>
              </w:rPr>
            </w:pPr>
            <w:r w:rsidRPr="00D21BEF">
              <w:rPr>
                <w:rFonts w:ascii="Times New Roman" w:hAnsi="Times New Roman" w:cs="Times New Roman"/>
                <w:sz w:val="20"/>
                <w:szCs w:val="20"/>
              </w:rPr>
              <w:t>33</w:t>
            </w:r>
          </w:p>
        </w:tc>
      </w:tr>
      <w:tr w:rsidR="00953D8F" w:rsidRPr="00D21BEF" w:rsidTr="008812F0">
        <w:trPr>
          <w:trHeight w:val="9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53D8F" w:rsidRPr="00D21BEF" w:rsidRDefault="00953D8F" w:rsidP="008812F0">
            <w:pPr>
              <w:snapToGrid w:val="0"/>
              <w:jc w:val="both"/>
              <w:rPr>
                <w:rFonts w:ascii="Times New Roman" w:hAnsi="Times New Roman" w:cs="Times New Roman"/>
                <w:b/>
                <w:sz w:val="20"/>
                <w:szCs w:val="20"/>
              </w:rPr>
            </w:pPr>
            <w:r w:rsidRPr="00D21BEF">
              <w:rPr>
                <w:rFonts w:ascii="Times New Roman" w:hAnsi="Times New Roman" w:cs="Times New Roman"/>
                <w:b/>
                <w:sz w:val="20"/>
                <w:szCs w:val="20"/>
              </w:rPr>
              <w:t>Total</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b/>
                <w:sz w:val="20"/>
                <w:szCs w:val="20"/>
              </w:rPr>
            </w:pPr>
            <w:r w:rsidRPr="00D21BEF">
              <w:rPr>
                <w:rFonts w:ascii="Times New Roman" w:hAnsi="Times New Roman" w:cs="Times New Roman"/>
                <w:b/>
                <w:sz w:val="20"/>
                <w:szCs w:val="20"/>
              </w:rPr>
              <w:t>484</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b/>
                <w:sz w:val="20"/>
                <w:szCs w:val="20"/>
              </w:rPr>
            </w:pPr>
            <w:r w:rsidRPr="00D21BEF">
              <w:rPr>
                <w:rFonts w:ascii="Times New Roman" w:hAnsi="Times New Roman" w:cs="Times New Roman"/>
                <w:b/>
                <w:sz w:val="20"/>
                <w:szCs w:val="20"/>
              </w:rPr>
              <w:t>890</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b/>
                <w:sz w:val="20"/>
                <w:szCs w:val="20"/>
              </w:rPr>
            </w:pPr>
            <w:r w:rsidRPr="00D21BEF">
              <w:rPr>
                <w:rFonts w:ascii="Times New Roman" w:hAnsi="Times New Roman" w:cs="Times New Roman"/>
                <w:b/>
                <w:sz w:val="20"/>
                <w:szCs w:val="20"/>
              </w:rPr>
              <w:t>1206</w:t>
            </w:r>
          </w:p>
        </w:tc>
        <w:tc>
          <w:tcPr>
            <w:tcW w:w="0" w:type="auto"/>
            <w:tcBorders>
              <w:top w:val="nil"/>
              <w:left w:val="nil"/>
              <w:bottom w:val="single" w:sz="8" w:space="0" w:color="auto"/>
              <w:right w:val="single" w:sz="8" w:space="0" w:color="auto"/>
            </w:tcBorders>
            <w:shd w:val="clear" w:color="auto" w:fill="auto"/>
            <w:vAlign w:val="center"/>
            <w:hideMark/>
          </w:tcPr>
          <w:p w:rsidR="00953D8F" w:rsidRPr="00D21BEF" w:rsidRDefault="00953D8F" w:rsidP="008812F0">
            <w:pPr>
              <w:snapToGrid w:val="0"/>
              <w:jc w:val="center"/>
              <w:rPr>
                <w:rFonts w:ascii="Times New Roman" w:hAnsi="Times New Roman" w:cs="Times New Roman"/>
                <w:b/>
                <w:sz w:val="20"/>
                <w:szCs w:val="20"/>
              </w:rPr>
            </w:pPr>
            <w:r w:rsidRPr="00D21BEF">
              <w:rPr>
                <w:rFonts w:ascii="Times New Roman" w:hAnsi="Times New Roman" w:cs="Times New Roman"/>
                <w:b/>
                <w:sz w:val="20"/>
                <w:szCs w:val="20"/>
              </w:rPr>
              <w:t>1464</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b/>
                <w:sz w:val="20"/>
                <w:szCs w:val="20"/>
              </w:rPr>
            </w:pPr>
            <w:r w:rsidRPr="00D21BEF">
              <w:rPr>
                <w:rFonts w:ascii="Times New Roman" w:hAnsi="Times New Roman" w:cs="Times New Roman"/>
                <w:b/>
                <w:sz w:val="20"/>
                <w:szCs w:val="20"/>
              </w:rPr>
              <w:t>566</w:t>
            </w:r>
          </w:p>
        </w:tc>
        <w:tc>
          <w:tcPr>
            <w:tcW w:w="0" w:type="auto"/>
            <w:tcBorders>
              <w:top w:val="nil"/>
              <w:left w:val="nil"/>
              <w:bottom w:val="single" w:sz="8" w:space="0" w:color="auto"/>
              <w:right w:val="single" w:sz="8" w:space="0" w:color="auto"/>
            </w:tcBorders>
            <w:shd w:val="clear" w:color="auto" w:fill="auto"/>
            <w:vAlign w:val="center"/>
          </w:tcPr>
          <w:p w:rsidR="00953D8F" w:rsidRPr="00D21BEF" w:rsidRDefault="00953D8F" w:rsidP="008812F0">
            <w:pPr>
              <w:snapToGrid w:val="0"/>
              <w:jc w:val="center"/>
              <w:rPr>
                <w:rFonts w:ascii="Times New Roman" w:hAnsi="Times New Roman" w:cs="Times New Roman"/>
                <w:b/>
                <w:sz w:val="20"/>
                <w:szCs w:val="20"/>
              </w:rPr>
            </w:pPr>
            <w:r w:rsidRPr="00D21BEF">
              <w:rPr>
                <w:rFonts w:ascii="Times New Roman" w:hAnsi="Times New Roman" w:cs="Times New Roman"/>
                <w:b/>
                <w:sz w:val="20"/>
                <w:szCs w:val="20"/>
              </w:rPr>
              <w:t>872</w:t>
            </w:r>
          </w:p>
        </w:tc>
      </w:tr>
    </w:tbl>
    <w:p w:rsidR="008812F0" w:rsidRPr="00D21BEF" w:rsidRDefault="008812F0"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Toutes les tranches d’âge sont concernées par les IST. La tranche de 20 à 39 ans est la plus touchée ave</w:t>
      </w:r>
      <w:r w:rsidR="008812F0" w:rsidRPr="00D21BEF">
        <w:rPr>
          <w:rFonts w:ascii="Times New Roman" w:hAnsi="Times New Roman" w:cs="Times New Roman"/>
          <w:sz w:val="22"/>
          <w:szCs w:val="22"/>
        </w:rPr>
        <w:t>c près de 79,55% des cas en 2019</w:t>
      </w:r>
      <w:r w:rsidRPr="00D21BEF">
        <w:rPr>
          <w:rFonts w:ascii="Times New Roman" w:hAnsi="Times New Roman" w:cs="Times New Roman"/>
          <w:sz w:val="22"/>
          <w:szCs w:val="22"/>
        </w:rPr>
        <w:t>. Chez les enfants de moins d’un an, on a noté essentiellement des cas de conjonctivites purulentes. Les IST touchent aussi bien les hommes que les femmes avec cependant une prédo</w:t>
      </w:r>
      <w:r w:rsidR="008812F0" w:rsidRPr="00D21BEF">
        <w:rPr>
          <w:rFonts w:ascii="Times New Roman" w:hAnsi="Times New Roman" w:cs="Times New Roman"/>
          <w:sz w:val="22"/>
          <w:szCs w:val="22"/>
        </w:rPr>
        <w:t>minance féminine (60,64% en 2019</w:t>
      </w:r>
      <w:r w:rsidRPr="00D21BEF">
        <w:rPr>
          <w:rFonts w:ascii="Times New Roman" w:hAnsi="Times New Roman" w:cs="Times New Roman"/>
          <w:sz w:val="22"/>
          <w:szCs w:val="22"/>
        </w:rPr>
        <w:t>). Dans l’ensemble, on note une baisse de la morbidité des IST</w:t>
      </w:r>
      <w:r w:rsidR="008812F0" w:rsidRPr="00D21BEF">
        <w:rPr>
          <w:rFonts w:ascii="Times New Roman" w:hAnsi="Times New Roman" w:cs="Times New Roman"/>
          <w:sz w:val="22"/>
          <w:szCs w:val="22"/>
        </w:rPr>
        <w:t xml:space="preserve"> par rapport aux données de 2018</w:t>
      </w:r>
      <w:r w:rsidRPr="00D21BEF">
        <w:rPr>
          <w:rFonts w:ascii="Times New Roman" w:hAnsi="Times New Roman" w:cs="Times New Roman"/>
          <w:sz w:val="22"/>
          <w:szCs w:val="22"/>
        </w:rPr>
        <w:t xml:space="preserve"> mais reste une préoccupation pour le district.</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La file active du district est fonctionnelle depuis 2006. Le conseil dépistage du VIH se fait dans toutes les formations sanitaires. Les bilans pré thérapeutiques et de suivi du traitement sont réalisés au laboratoire </w:t>
      </w:r>
      <w:r w:rsidR="008812F0" w:rsidRPr="00D21BEF">
        <w:rPr>
          <w:rFonts w:ascii="Times New Roman" w:hAnsi="Times New Roman" w:cs="Times New Roman"/>
          <w:sz w:val="22"/>
          <w:szCs w:val="22"/>
        </w:rPr>
        <w:t>de l’hôpital de district</w:t>
      </w:r>
      <w:r w:rsidRPr="00D21BEF">
        <w:rPr>
          <w:rFonts w:ascii="Times New Roman" w:hAnsi="Times New Roman" w:cs="Times New Roman"/>
          <w:sz w:val="22"/>
          <w:szCs w:val="22"/>
        </w:rPr>
        <w:t xml:space="preserve"> qui dispose d’un compteur de CD4. </w:t>
      </w:r>
      <w:r w:rsidR="008812F0" w:rsidRPr="00D21BEF">
        <w:rPr>
          <w:rFonts w:ascii="Times New Roman" w:hAnsi="Times New Roman" w:cs="Times New Roman"/>
          <w:sz w:val="22"/>
          <w:szCs w:val="22"/>
        </w:rPr>
        <w:t>Seul le dosage</w:t>
      </w:r>
      <w:r w:rsidRPr="00D21BEF">
        <w:rPr>
          <w:rFonts w:ascii="Times New Roman" w:hAnsi="Times New Roman" w:cs="Times New Roman"/>
          <w:sz w:val="22"/>
          <w:szCs w:val="22"/>
        </w:rPr>
        <w:t xml:space="preserve"> de la charge virale et la PCR ne sont pas réalisés au sein du district. Néanmoins ces examens sont réalisés en collaboration avec les laboratoires de référence.</w:t>
      </w:r>
    </w:p>
    <w:p w:rsidR="008812F0" w:rsidRPr="00D21BEF" w:rsidRDefault="008812F0" w:rsidP="00953D8F">
      <w:pPr>
        <w:spacing w:line="276" w:lineRule="auto"/>
        <w:jc w:val="both"/>
        <w:rPr>
          <w:rFonts w:ascii="Times New Roman" w:hAnsi="Times New Roman" w:cs="Times New Roman"/>
          <w:sz w:val="22"/>
          <w:szCs w:val="22"/>
        </w:rPr>
      </w:pPr>
    </w:p>
    <w:p w:rsidR="008812F0" w:rsidRDefault="008812F0" w:rsidP="00953D8F">
      <w:pPr>
        <w:spacing w:line="276" w:lineRule="auto"/>
        <w:jc w:val="both"/>
        <w:rPr>
          <w:rFonts w:ascii="Times New Roman" w:hAnsi="Times New Roman" w:cs="Times New Roman"/>
          <w:sz w:val="22"/>
          <w:szCs w:val="22"/>
        </w:rPr>
      </w:pPr>
    </w:p>
    <w:p w:rsidR="005B7F50" w:rsidRDefault="005B7F50" w:rsidP="00953D8F">
      <w:pPr>
        <w:spacing w:line="276" w:lineRule="auto"/>
        <w:jc w:val="both"/>
        <w:rPr>
          <w:rFonts w:ascii="Times New Roman" w:hAnsi="Times New Roman" w:cs="Times New Roman"/>
          <w:sz w:val="22"/>
          <w:szCs w:val="22"/>
        </w:rPr>
      </w:pPr>
    </w:p>
    <w:p w:rsidR="007B68A3" w:rsidRPr="00D21BEF" w:rsidRDefault="007B68A3"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b/>
          <w:sz w:val="22"/>
          <w:szCs w:val="22"/>
        </w:rPr>
      </w:pPr>
      <w:bookmarkStart w:id="48" w:name="_Toc326330387"/>
      <w:r w:rsidRPr="00D21BEF">
        <w:rPr>
          <w:rFonts w:ascii="Times New Roman" w:hAnsi="Times New Roman" w:cs="Times New Roman"/>
          <w:b/>
          <w:sz w:val="22"/>
          <w:szCs w:val="22"/>
        </w:rPr>
        <w:lastRenderedPageBreak/>
        <w:t>Tableau</w:t>
      </w:r>
      <w:r w:rsidR="003D46BA" w:rsidRPr="00D21BEF">
        <w:rPr>
          <w:rFonts w:ascii="Times New Roman" w:hAnsi="Times New Roman" w:cs="Times New Roman"/>
          <w:b/>
          <w:sz w:val="22"/>
          <w:szCs w:val="22"/>
        </w:rPr>
        <w:t xml:space="preserve"> 4</w:t>
      </w:r>
      <w:r w:rsidRPr="00D21BEF">
        <w:rPr>
          <w:rFonts w:ascii="Times New Roman" w:hAnsi="Times New Roman" w:cs="Times New Roman"/>
          <w:b/>
          <w:sz w:val="22"/>
          <w:szCs w:val="22"/>
        </w:rPr>
        <w:t> : Données de la file active</w:t>
      </w:r>
      <w:r w:rsidRPr="00D21BEF">
        <w:rPr>
          <w:rFonts w:ascii="Times New Roman" w:hAnsi="Times New Roman" w:cs="Times New Roman"/>
          <w:b/>
          <w:sz w:val="22"/>
          <w:szCs w:val="22"/>
        </w:rPr>
        <w:footnoteReference w:id="1"/>
      </w:r>
      <w:r w:rsidRPr="00D21BEF">
        <w:rPr>
          <w:rFonts w:ascii="Times New Roman" w:hAnsi="Times New Roman" w:cs="Times New Roman"/>
          <w:b/>
          <w:sz w:val="22"/>
          <w:szCs w:val="22"/>
        </w:rPr>
        <w:t xml:space="preserve"> </w:t>
      </w:r>
      <w:r w:rsidR="008812F0" w:rsidRPr="00D21BEF">
        <w:rPr>
          <w:rFonts w:ascii="Times New Roman" w:hAnsi="Times New Roman" w:cs="Times New Roman"/>
          <w:b/>
          <w:sz w:val="22"/>
          <w:szCs w:val="22"/>
        </w:rPr>
        <w:t xml:space="preserve">du VIH </w:t>
      </w:r>
      <w:r w:rsidRPr="00D21BEF">
        <w:rPr>
          <w:rFonts w:ascii="Times New Roman" w:hAnsi="Times New Roman" w:cs="Times New Roman"/>
          <w:b/>
          <w:sz w:val="22"/>
          <w:szCs w:val="22"/>
        </w:rPr>
        <w:t>de 2012 à 201</w:t>
      </w:r>
      <w:bookmarkEnd w:id="48"/>
      <w:r w:rsidRPr="00D21BEF">
        <w:rPr>
          <w:rFonts w:ascii="Times New Roman" w:hAnsi="Times New Roman" w:cs="Times New Roman"/>
          <w:b/>
          <w:sz w:val="22"/>
          <w:szCs w:val="22"/>
        </w:rPr>
        <w:t xml:space="preserve">4 au DS de </w:t>
      </w:r>
      <w:r w:rsidR="008812F0" w:rsidRPr="00D21BEF">
        <w:rPr>
          <w:rFonts w:ascii="Times New Roman" w:hAnsi="Times New Roman" w:cs="Times New Roman"/>
          <w:b/>
          <w:sz w:val="22"/>
          <w:szCs w:val="22"/>
        </w:rPr>
        <w:t>Kolanga</w:t>
      </w:r>
    </w:p>
    <w:p w:rsidR="008812F0" w:rsidRPr="00D21BEF" w:rsidRDefault="008812F0" w:rsidP="008812F0">
      <w:pPr>
        <w:jc w:val="both"/>
        <w:rPr>
          <w:rFonts w:ascii="Times New Roman" w:hAnsi="Times New Roman" w:cs="Times New Roman"/>
          <w:sz w:val="22"/>
          <w:szCs w:val="22"/>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18"/>
        <w:gridCol w:w="1124"/>
        <w:gridCol w:w="1124"/>
      </w:tblGrid>
      <w:tr w:rsidR="00953D8F" w:rsidRPr="00D21BEF" w:rsidTr="00953D8F">
        <w:trPr>
          <w:trHeight w:val="276"/>
        </w:trPr>
        <w:tc>
          <w:tcPr>
            <w:tcW w:w="5670" w:type="dxa"/>
            <w:tcBorders>
              <w:bottom w:val="single" w:sz="4" w:space="0" w:color="auto"/>
            </w:tcBorders>
            <w:shd w:val="clear" w:color="auto" w:fill="FFFFFF"/>
          </w:tcPr>
          <w:p w:rsidR="00953D8F" w:rsidRPr="00D21BEF" w:rsidRDefault="00953D8F" w:rsidP="00953D8F">
            <w:pPr>
              <w:spacing w:line="276" w:lineRule="auto"/>
              <w:jc w:val="both"/>
              <w:rPr>
                <w:rFonts w:ascii="Times New Roman" w:hAnsi="Times New Roman" w:cs="Times New Roman"/>
                <w:b/>
                <w:sz w:val="22"/>
                <w:szCs w:val="22"/>
              </w:rPr>
            </w:pPr>
            <w:r w:rsidRPr="00D21BEF">
              <w:rPr>
                <w:rFonts w:ascii="Times New Roman" w:hAnsi="Times New Roman" w:cs="Times New Roman"/>
                <w:b/>
                <w:sz w:val="22"/>
                <w:szCs w:val="22"/>
              </w:rPr>
              <w:t>Années</w:t>
            </w:r>
          </w:p>
        </w:tc>
        <w:tc>
          <w:tcPr>
            <w:tcW w:w="1218" w:type="dxa"/>
            <w:shd w:val="clear" w:color="auto" w:fill="FFFFFF"/>
            <w:vAlign w:val="center"/>
          </w:tcPr>
          <w:p w:rsidR="00953D8F" w:rsidRPr="00D21BEF" w:rsidRDefault="00953D8F" w:rsidP="008812F0">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20</w:t>
            </w:r>
            <w:r w:rsidR="008812F0" w:rsidRPr="00D21BEF">
              <w:rPr>
                <w:rFonts w:ascii="Times New Roman" w:hAnsi="Times New Roman" w:cs="Times New Roman"/>
                <w:b/>
                <w:sz w:val="22"/>
                <w:szCs w:val="22"/>
              </w:rPr>
              <w:t>19</w:t>
            </w:r>
          </w:p>
        </w:tc>
        <w:tc>
          <w:tcPr>
            <w:tcW w:w="1124" w:type="dxa"/>
            <w:shd w:val="clear" w:color="auto" w:fill="FFFFFF"/>
            <w:vAlign w:val="center"/>
          </w:tcPr>
          <w:p w:rsidR="00953D8F" w:rsidRPr="00D21BEF" w:rsidRDefault="008812F0" w:rsidP="008812F0">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2020</w:t>
            </w:r>
          </w:p>
        </w:tc>
        <w:tc>
          <w:tcPr>
            <w:tcW w:w="1124" w:type="dxa"/>
            <w:shd w:val="clear" w:color="auto" w:fill="FFFFFF"/>
            <w:vAlign w:val="center"/>
          </w:tcPr>
          <w:p w:rsidR="00953D8F" w:rsidRPr="00D21BEF" w:rsidRDefault="008812F0" w:rsidP="008812F0">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2021</w:t>
            </w:r>
          </w:p>
        </w:tc>
      </w:tr>
      <w:tr w:rsidR="00953D8F" w:rsidRPr="00D21BEF" w:rsidTr="00953D8F">
        <w:trPr>
          <w:trHeight w:val="369"/>
        </w:trPr>
        <w:tc>
          <w:tcPr>
            <w:tcW w:w="5670" w:type="dxa"/>
            <w:tcBorders>
              <w:top w:val="single" w:sz="4" w:space="0" w:color="auto"/>
            </w:tcBorders>
          </w:tcPr>
          <w:p w:rsidR="00953D8F" w:rsidRPr="00D21BEF" w:rsidRDefault="00953D8F" w:rsidP="00953D8F">
            <w:pPr>
              <w:spacing w:line="276" w:lineRule="auto"/>
              <w:jc w:val="both"/>
              <w:rPr>
                <w:rFonts w:ascii="Times New Roman" w:hAnsi="Times New Roman" w:cs="Times New Roman"/>
                <w:sz w:val="20"/>
                <w:szCs w:val="20"/>
              </w:rPr>
            </w:pPr>
            <w:r w:rsidRPr="00D21BEF">
              <w:rPr>
                <w:rFonts w:ascii="Times New Roman" w:hAnsi="Times New Roman" w:cs="Times New Roman"/>
                <w:sz w:val="20"/>
                <w:szCs w:val="20"/>
              </w:rPr>
              <w:t>Adhésion au dépistage</w:t>
            </w:r>
          </w:p>
        </w:tc>
        <w:tc>
          <w:tcPr>
            <w:tcW w:w="1218"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5495</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6753</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5289</w:t>
            </w:r>
          </w:p>
        </w:tc>
      </w:tr>
      <w:tr w:rsidR="00953D8F" w:rsidRPr="00D21BEF" w:rsidTr="00953D8F">
        <w:trPr>
          <w:trHeight w:val="353"/>
        </w:trPr>
        <w:tc>
          <w:tcPr>
            <w:tcW w:w="5670" w:type="dxa"/>
            <w:tcBorders>
              <w:top w:val="single" w:sz="4" w:space="0" w:color="auto"/>
            </w:tcBorders>
          </w:tcPr>
          <w:p w:rsidR="00953D8F" w:rsidRPr="00D21BEF" w:rsidRDefault="00953D8F" w:rsidP="00953D8F">
            <w:pPr>
              <w:spacing w:line="276" w:lineRule="auto"/>
              <w:jc w:val="both"/>
              <w:rPr>
                <w:rFonts w:ascii="Times New Roman" w:hAnsi="Times New Roman" w:cs="Times New Roman"/>
                <w:sz w:val="20"/>
                <w:szCs w:val="20"/>
              </w:rPr>
            </w:pPr>
            <w:r w:rsidRPr="00D21BEF">
              <w:rPr>
                <w:rFonts w:ascii="Times New Roman" w:hAnsi="Times New Roman" w:cs="Times New Roman"/>
                <w:sz w:val="20"/>
                <w:szCs w:val="20"/>
              </w:rPr>
              <w:t>Nombre de patients enrôlés</w:t>
            </w:r>
          </w:p>
        </w:tc>
        <w:tc>
          <w:tcPr>
            <w:tcW w:w="1218"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79</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144</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71</w:t>
            </w:r>
          </w:p>
        </w:tc>
      </w:tr>
      <w:tr w:rsidR="00953D8F" w:rsidRPr="00D21BEF" w:rsidTr="00953D8F">
        <w:trPr>
          <w:trHeight w:val="353"/>
        </w:trPr>
        <w:tc>
          <w:tcPr>
            <w:tcW w:w="5670" w:type="dxa"/>
            <w:tcBorders>
              <w:top w:val="single" w:sz="4" w:space="0" w:color="auto"/>
            </w:tcBorders>
          </w:tcPr>
          <w:p w:rsidR="00953D8F" w:rsidRPr="00D21BEF" w:rsidRDefault="00953D8F" w:rsidP="00953D8F">
            <w:pPr>
              <w:spacing w:line="276" w:lineRule="auto"/>
              <w:jc w:val="both"/>
              <w:rPr>
                <w:rFonts w:ascii="Times New Roman" w:hAnsi="Times New Roman" w:cs="Times New Roman"/>
                <w:sz w:val="20"/>
                <w:szCs w:val="20"/>
              </w:rPr>
            </w:pPr>
            <w:r w:rsidRPr="00D21BEF">
              <w:rPr>
                <w:rFonts w:ascii="Times New Roman" w:hAnsi="Times New Roman" w:cs="Times New Roman"/>
                <w:sz w:val="20"/>
                <w:szCs w:val="20"/>
              </w:rPr>
              <w:t>Nombre de patients éligibles au traitement</w:t>
            </w:r>
          </w:p>
        </w:tc>
        <w:tc>
          <w:tcPr>
            <w:tcW w:w="1218"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46</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102</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41</w:t>
            </w:r>
          </w:p>
        </w:tc>
      </w:tr>
      <w:tr w:rsidR="00953D8F" w:rsidRPr="00D21BEF" w:rsidTr="00953D8F">
        <w:trPr>
          <w:trHeight w:val="353"/>
        </w:trPr>
        <w:tc>
          <w:tcPr>
            <w:tcW w:w="5670" w:type="dxa"/>
          </w:tcPr>
          <w:p w:rsidR="00953D8F" w:rsidRPr="00D21BEF" w:rsidRDefault="00953D8F" w:rsidP="00953D8F">
            <w:pPr>
              <w:spacing w:line="276" w:lineRule="auto"/>
              <w:jc w:val="both"/>
              <w:rPr>
                <w:rFonts w:ascii="Times New Roman" w:hAnsi="Times New Roman" w:cs="Times New Roman"/>
                <w:sz w:val="20"/>
                <w:szCs w:val="20"/>
              </w:rPr>
            </w:pPr>
            <w:r w:rsidRPr="00D21BEF">
              <w:rPr>
                <w:rFonts w:ascii="Times New Roman" w:hAnsi="Times New Roman" w:cs="Times New Roman"/>
                <w:sz w:val="20"/>
                <w:szCs w:val="20"/>
              </w:rPr>
              <w:t>Nombre de patients sous TARV</w:t>
            </w:r>
          </w:p>
        </w:tc>
        <w:tc>
          <w:tcPr>
            <w:tcW w:w="1218"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46</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102</w:t>
            </w:r>
          </w:p>
        </w:tc>
        <w:tc>
          <w:tcPr>
            <w:tcW w:w="1124" w:type="dxa"/>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41</w:t>
            </w:r>
          </w:p>
        </w:tc>
      </w:tr>
      <w:tr w:rsidR="00953D8F" w:rsidRPr="00D21BEF" w:rsidTr="00953D8F">
        <w:trPr>
          <w:trHeight w:val="157"/>
        </w:trPr>
        <w:tc>
          <w:tcPr>
            <w:tcW w:w="5670" w:type="dxa"/>
            <w:vAlign w:val="center"/>
          </w:tcPr>
          <w:p w:rsidR="00953D8F" w:rsidRPr="00D21BEF" w:rsidRDefault="00953D8F" w:rsidP="00953D8F">
            <w:pPr>
              <w:spacing w:line="276" w:lineRule="auto"/>
              <w:jc w:val="both"/>
              <w:rPr>
                <w:rFonts w:ascii="Times New Roman" w:hAnsi="Times New Roman" w:cs="Times New Roman"/>
                <w:sz w:val="20"/>
                <w:szCs w:val="20"/>
              </w:rPr>
            </w:pPr>
            <w:r w:rsidRPr="00D21BEF">
              <w:rPr>
                <w:rFonts w:ascii="Times New Roman" w:hAnsi="Times New Roman" w:cs="Times New Roman"/>
                <w:sz w:val="20"/>
                <w:szCs w:val="20"/>
              </w:rPr>
              <w:t>% de patients éligibles au TARV et effectivement sous TARV</w:t>
            </w:r>
          </w:p>
        </w:tc>
        <w:tc>
          <w:tcPr>
            <w:tcW w:w="1218"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100</w:t>
            </w:r>
          </w:p>
        </w:tc>
        <w:tc>
          <w:tcPr>
            <w:tcW w:w="1124"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100</w:t>
            </w:r>
          </w:p>
        </w:tc>
        <w:tc>
          <w:tcPr>
            <w:tcW w:w="1124" w:type="dxa"/>
            <w:vAlign w:val="center"/>
          </w:tcPr>
          <w:p w:rsidR="00953D8F" w:rsidRPr="00D21BEF" w:rsidRDefault="00953D8F" w:rsidP="008812F0">
            <w:pPr>
              <w:spacing w:line="276" w:lineRule="auto"/>
              <w:jc w:val="center"/>
              <w:rPr>
                <w:rFonts w:ascii="Times New Roman" w:hAnsi="Times New Roman" w:cs="Times New Roman"/>
                <w:sz w:val="20"/>
                <w:szCs w:val="20"/>
              </w:rPr>
            </w:pPr>
            <w:r w:rsidRPr="00D21BEF">
              <w:rPr>
                <w:rFonts w:ascii="Times New Roman" w:hAnsi="Times New Roman" w:cs="Times New Roman"/>
                <w:sz w:val="20"/>
                <w:szCs w:val="20"/>
              </w:rPr>
              <w:t>100</w:t>
            </w:r>
          </w:p>
        </w:tc>
      </w:tr>
    </w:tbl>
    <w:p w:rsidR="008812F0" w:rsidRPr="00D21BEF" w:rsidRDefault="008812F0"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 nombre de personnes ayant adhéré au dépistage du V</w:t>
      </w:r>
      <w:r w:rsidR="008812F0" w:rsidRPr="00D21BEF">
        <w:rPr>
          <w:rFonts w:ascii="Times New Roman" w:hAnsi="Times New Roman" w:cs="Times New Roman"/>
          <w:sz w:val="22"/>
          <w:szCs w:val="22"/>
        </w:rPr>
        <w:t>IH bien qu’en hausse depuis 2019</w:t>
      </w:r>
      <w:r w:rsidRPr="00D21BEF">
        <w:rPr>
          <w:rFonts w:ascii="Times New Roman" w:hAnsi="Times New Roman" w:cs="Times New Roman"/>
          <w:sz w:val="22"/>
          <w:szCs w:val="22"/>
        </w:rPr>
        <w:t xml:space="preserve"> reste faible. Aussi la progression du nombre de patients enrôlés est-elle restée faible depuis cette année. Tous les patients éligibles au traitement sont sous ARV.</w:t>
      </w:r>
    </w:p>
    <w:p w:rsidR="008812F0" w:rsidRPr="00D21BEF" w:rsidRDefault="008812F0" w:rsidP="00953D8F">
      <w:pPr>
        <w:spacing w:line="276" w:lineRule="auto"/>
        <w:jc w:val="both"/>
        <w:rPr>
          <w:rFonts w:ascii="Times New Roman" w:hAnsi="Times New Roman" w:cs="Times New Roman"/>
          <w:sz w:val="22"/>
          <w:szCs w:val="22"/>
        </w:rPr>
      </w:pPr>
      <w:bookmarkStart w:id="49" w:name="_Toc284411733"/>
      <w:bookmarkStart w:id="50" w:name="_Toc316331252"/>
      <w:bookmarkStart w:id="51" w:name="_Toc316331313"/>
      <w:bookmarkStart w:id="52" w:name="_Toc316331373"/>
      <w:bookmarkStart w:id="53" w:name="_Toc316331516"/>
      <w:bookmarkStart w:id="54" w:name="_Toc316331576"/>
      <w:bookmarkStart w:id="55" w:name="_Toc316331860"/>
      <w:bookmarkStart w:id="56" w:name="_Toc316332038"/>
      <w:bookmarkStart w:id="57" w:name="_Toc316332139"/>
      <w:bookmarkStart w:id="58" w:name="_Toc326392676"/>
      <w:bookmarkStart w:id="59" w:name="_Toc326557772"/>
    </w:p>
    <w:p w:rsidR="00953D8F" w:rsidRPr="00D21BEF" w:rsidRDefault="00953D8F" w:rsidP="008812F0">
      <w:pPr>
        <w:snapToGrid w:val="0"/>
        <w:spacing w:after="120" w:line="276" w:lineRule="auto"/>
        <w:jc w:val="both"/>
        <w:rPr>
          <w:rFonts w:ascii="Times New Roman" w:hAnsi="Times New Roman" w:cs="Times New Roman"/>
          <w:i/>
          <w:sz w:val="22"/>
          <w:szCs w:val="22"/>
        </w:rPr>
      </w:pPr>
      <w:r w:rsidRPr="00D21BEF">
        <w:rPr>
          <w:rFonts w:ascii="Times New Roman" w:hAnsi="Times New Roman" w:cs="Times New Roman"/>
          <w:i/>
          <w:sz w:val="22"/>
          <w:szCs w:val="22"/>
        </w:rPr>
        <w:t> </w:t>
      </w:r>
      <w:bookmarkStart w:id="60" w:name="_Toc423277106"/>
      <w:r w:rsidR="008812F0" w:rsidRPr="00D21BEF">
        <w:rPr>
          <w:rFonts w:ascii="Times New Roman" w:hAnsi="Times New Roman" w:cs="Times New Roman"/>
          <w:i/>
          <w:sz w:val="22"/>
          <w:szCs w:val="22"/>
        </w:rPr>
        <w:t xml:space="preserve">2.4. </w:t>
      </w:r>
      <w:r w:rsidRPr="00D21BEF">
        <w:rPr>
          <w:rFonts w:ascii="Times New Roman" w:hAnsi="Times New Roman" w:cs="Times New Roman"/>
          <w:i/>
          <w:sz w:val="22"/>
          <w:szCs w:val="22"/>
        </w:rPr>
        <w:t>Mortalité maternelle, néonatale et infanto-juvénile</w:t>
      </w:r>
      <w:bookmarkEnd w:id="49"/>
      <w:bookmarkEnd w:id="50"/>
      <w:bookmarkEnd w:id="51"/>
      <w:bookmarkEnd w:id="52"/>
      <w:bookmarkEnd w:id="53"/>
      <w:bookmarkEnd w:id="54"/>
      <w:bookmarkEnd w:id="55"/>
      <w:bookmarkEnd w:id="56"/>
      <w:bookmarkEnd w:id="57"/>
      <w:bookmarkEnd w:id="58"/>
      <w:bookmarkEnd w:id="59"/>
      <w:bookmarkEnd w:id="60"/>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Le district sanitaire de </w:t>
      </w:r>
      <w:r w:rsidR="008812F0" w:rsidRPr="00D21BEF">
        <w:rPr>
          <w:rFonts w:ascii="Times New Roman" w:hAnsi="Times New Roman" w:cs="Times New Roman"/>
          <w:sz w:val="22"/>
          <w:szCs w:val="22"/>
        </w:rPr>
        <w:t>Kolanga a enregistré 19 décès en 2019, 11 en 2020 et 13 en 2021</w:t>
      </w:r>
      <w:r w:rsidRPr="00D21BEF">
        <w:rPr>
          <w:rFonts w:ascii="Times New Roman" w:hAnsi="Times New Roman" w:cs="Times New Roman"/>
          <w:sz w:val="22"/>
          <w:szCs w:val="22"/>
        </w:rPr>
        <w:t>, ce qui donne respectivement un indice 424, 224 et 229 décès pour 100 000 parturientes. Ces indices sont supérieurs au seuil des OMD (121 pour 100000 parturientes) et à l’objectif national (55 pour 100 000). Cette mortalité maternelle est due d’une part aux retards à la consultation (inaccessibilité et éloignement des formations sanitaires, retards de décision de consulter, persistance des accouchements à domicile, absence de moyens d’évacuation communautaire, insuffisance d’ambulance) et d’autre part à l’insuffisance de la prise en charge (l’insuffisance en produits sanguins labiles, l’insuffis</w:t>
      </w:r>
      <w:r w:rsidR="005B7F50">
        <w:rPr>
          <w:rFonts w:ascii="Times New Roman" w:hAnsi="Times New Roman" w:cs="Times New Roman"/>
          <w:sz w:val="22"/>
          <w:szCs w:val="22"/>
        </w:rPr>
        <w:t>ance en personnel formé en SONU</w:t>
      </w:r>
      <w:r w:rsidRPr="00D21BEF">
        <w:rPr>
          <w:rFonts w:ascii="Times New Roman" w:hAnsi="Times New Roman" w:cs="Times New Roman"/>
          <w:sz w:val="22"/>
          <w:szCs w:val="22"/>
        </w:rPr>
        <w:t>.</w:t>
      </w:r>
    </w:p>
    <w:p w:rsidR="008812F0" w:rsidRPr="00D21BEF" w:rsidRDefault="008812F0" w:rsidP="008812F0">
      <w:pPr>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Les causes de décès maternels sont multiples et dominées par les pathologies vasculo-rénales, les infections et les hémorragies/anémie etc.</w:t>
      </w:r>
    </w:p>
    <w:p w:rsidR="008812F0" w:rsidRPr="00D21BEF" w:rsidRDefault="008812F0"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 taux de mortalité néonatale reste préoccupant. Il est de 28 pour 1000 nai</w:t>
      </w:r>
      <w:r w:rsidR="008812F0" w:rsidRPr="00D21BEF">
        <w:rPr>
          <w:rFonts w:ascii="Times New Roman" w:hAnsi="Times New Roman" w:cs="Times New Roman"/>
          <w:sz w:val="22"/>
          <w:szCs w:val="22"/>
        </w:rPr>
        <w:t>ssances vivantes au niveau national. En 202</w:t>
      </w:r>
      <w:r w:rsidR="003D46BA" w:rsidRPr="00D21BEF">
        <w:rPr>
          <w:rFonts w:ascii="Times New Roman" w:hAnsi="Times New Roman" w:cs="Times New Roman"/>
          <w:sz w:val="22"/>
          <w:szCs w:val="22"/>
        </w:rPr>
        <w:t>0</w:t>
      </w:r>
      <w:r w:rsidRPr="00D21BEF">
        <w:rPr>
          <w:rFonts w:ascii="Times New Roman" w:hAnsi="Times New Roman" w:cs="Times New Roman"/>
          <w:sz w:val="22"/>
          <w:szCs w:val="22"/>
        </w:rPr>
        <w:t xml:space="preserve">, ce taux est de 3,31 pour 1000 naissances vivantes au district sanitaire de </w:t>
      </w:r>
      <w:r w:rsidR="003D46BA" w:rsidRPr="00D21BEF">
        <w:rPr>
          <w:rFonts w:ascii="Times New Roman" w:hAnsi="Times New Roman" w:cs="Times New Roman"/>
          <w:sz w:val="22"/>
          <w:szCs w:val="22"/>
        </w:rPr>
        <w:t>Kolanga</w:t>
      </w:r>
      <w:r w:rsidRPr="00D21BEF">
        <w:rPr>
          <w:rFonts w:ascii="Times New Roman" w:hAnsi="Times New Roman" w:cs="Times New Roman"/>
          <w:sz w:val="22"/>
          <w:szCs w:val="22"/>
        </w:rPr>
        <w:t xml:space="preserve">. L’analyse faite des rapports de supervision montre qu’il existe une faible connaissance des agents de santé sur la définition des cas de décès néonatals, ce qui pourrait engendrer une sous-notification de ces phénomènes. </w:t>
      </w:r>
    </w:p>
    <w:p w:rsidR="003D46BA" w:rsidRPr="00D21BEF" w:rsidRDefault="003D46BA" w:rsidP="00953D8F">
      <w:pPr>
        <w:spacing w:line="276" w:lineRule="auto"/>
        <w:jc w:val="both"/>
        <w:rPr>
          <w:rFonts w:ascii="Times New Roman" w:hAnsi="Times New Roman" w:cs="Times New Roman"/>
          <w:sz w:val="22"/>
          <w:szCs w:val="22"/>
        </w:rPr>
      </w:pPr>
    </w:p>
    <w:p w:rsidR="00953D8F" w:rsidRPr="00D21BEF" w:rsidRDefault="00D21BEF" w:rsidP="00D21BEF">
      <w:pPr>
        <w:snapToGrid w:val="0"/>
        <w:spacing w:after="120" w:line="276" w:lineRule="auto"/>
        <w:jc w:val="both"/>
        <w:rPr>
          <w:rFonts w:ascii="Times New Roman" w:hAnsi="Times New Roman" w:cs="Times New Roman"/>
          <w:i/>
          <w:sz w:val="22"/>
          <w:szCs w:val="22"/>
        </w:rPr>
      </w:pPr>
      <w:bookmarkStart w:id="61" w:name="_Toc284411734"/>
      <w:bookmarkStart w:id="62" w:name="_Toc316331253"/>
      <w:bookmarkStart w:id="63" w:name="_Toc316331314"/>
      <w:bookmarkStart w:id="64" w:name="_Toc316331374"/>
      <w:bookmarkStart w:id="65" w:name="_Toc316331517"/>
      <w:bookmarkStart w:id="66" w:name="_Toc316331577"/>
      <w:bookmarkStart w:id="67" w:name="_Toc316331861"/>
      <w:bookmarkStart w:id="68" w:name="_Toc316332039"/>
      <w:bookmarkStart w:id="69" w:name="_Toc316332140"/>
      <w:bookmarkStart w:id="70" w:name="_Toc326392677"/>
      <w:bookmarkStart w:id="71" w:name="_Toc326557773"/>
      <w:bookmarkStart w:id="72" w:name="_Toc423277107"/>
      <w:r w:rsidRPr="00D21BEF">
        <w:rPr>
          <w:rFonts w:ascii="Times New Roman" w:hAnsi="Times New Roman" w:cs="Times New Roman"/>
          <w:i/>
          <w:sz w:val="22"/>
          <w:szCs w:val="22"/>
        </w:rPr>
        <w:t xml:space="preserve">2.5. </w:t>
      </w:r>
      <w:r w:rsidR="00953D8F" w:rsidRPr="00D21BEF">
        <w:rPr>
          <w:rFonts w:ascii="Times New Roman" w:hAnsi="Times New Roman" w:cs="Times New Roman"/>
          <w:i/>
          <w:sz w:val="22"/>
          <w:szCs w:val="22"/>
        </w:rPr>
        <w:t>Etat nutritionnel des mères, des enfants et les problèmes liés aux micronutriments</w:t>
      </w:r>
      <w:bookmarkEnd w:id="61"/>
      <w:bookmarkEnd w:id="62"/>
      <w:bookmarkEnd w:id="63"/>
      <w:bookmarkEnd w:id="64"/>
      <w:bookmarkEnd w:id="65"/>
      <w:bookmarkEnd w:id="66"/>
      <w:bookmarkEnd w:id="67"/>
      <w:bookmarkEnd w:id="68"/>
      <w:bookmarkEnd w:id="69"/>
      <w:bookmarkEnd w:id="70"/>
      <w:bookmarkEnd w:id="71"/>
      <w:bookmarkEnd w:id="72"/>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La consultation des nourrissons sains constitue une opportunité pour le suivi nutritionnel des enfants. Elle est intégrée aux activités de la CPN et du PEV en stratégies fixe et avancée. Ce suivi s’</w:t>
      </w:r>
      <w:r w:rsidR="00D21BEF" w:rsidRPr="00D21BEF">
        <w:rPr>
          <w:rFonts w:ascii="Times New Roman" w:hAnsi="Times New Roman" w:cs="Times New Roman"/>
          <w:sz w:val="22"/>
          <w:szCs w:val="22"/>
        </w:rPr>
        <w:t xml:space="preserve">accompagne de séances d’IEC et </w:t>
      </w:r>
      <w:r w:rsidRPr="00D21BEF">
        <w:rPr>
          <w:rFonts w:ascii="Times New Roman" w:hAnsi="Times New Roman" w:cs="Times New Roman"/>
          <w:sz w:val="22"/>
          <w:szCs w:val="22"/>
        </w:rPr>
        <w:t>de distribution de rations sèches aux enfants malnutris. Les partenaires impliqués dans cette activi</w:t>
      </w:r>
      <w:r w:rsidR="00D21BEF" w:rsidRPr="00D21BEF">
        <w:rPr>
          <w:rFonts w:ascii="Times New Roman" w:hAnsi="Times New Roman" w:cs="Times New Roman"/>
          <w:sz w:val="22"/>
          <w:szCs w:val="22"/>
        </w:rPr>
        <w:t xml:space="preserve">té sont le PAM, la Croix Rouge </w:t>
      </w:r>
      <w:r w:rsidRPr="00D21BEF">
        <w:rPr>
          <w:rFonts w:ascii="Times New Roman" w:hAnsi="Times New Roman" w:cs="Times New Roman"/>
          <w:sz w:val="22"/>
          <w:szCs w:val="22"/>
        </w:rPr>
        <w:t xml:space="preserve">et l’UNICEF. La participation communautaire est marquée par la contribution de </w:t>
      </w:r>
      <w:r w:rsidR="00D21BEF" w:rsidRPr="00D21BEF">
        <w:rPr>
          <w:rFonts w:ascii="Times New Roman" w:hAnsi="Times New Roman" w:cs="Times New Roman"/>
          <w:sz w:val="22"/>
          <w:szCs w:val="22"/>
        </w:rPr>
        <w:t>250</w:t>
      </w:r>
      <w:r w:rsidRPr="00D21BEF">
        <w:rPr>
          <w:rFonts w:ascii="Times New Roman" w:hAnsi="Times New Roman" w:cs="Times New Roman"/>
          <w:sz w:val="22"/>
          <w:szCs w:val="22"/>
        </w:rPr>
        <w:t xml:space="preserve"> agents de santé communautaires et de </w:t>
      </w:r>
      <w:r w:rsidR="00D21BEF" w:rsidRPr="00D21BEF">
        <w:rPr>
          <w:rFonts w:ascii="Times New Roman" w:hAnsi="Times New Roman" w:cs="Times New Roman"/>
          <w:sz w:val="22"/>
          <w:szCs w:val="22"/>
        </w:rPr>
        <w:t>100</w:t>
      </w:r>
      <w:r w:rsidRPr="00D21BEF">
        <w:rPr>
          <w:rFonts w:ascii="Times New Roman" w:hAnsi="Times New Roman" w:cs="Times New Roman"/>
          <w:sz w:val="22"/>
          <w:szCs w:val="22"/>
        </w:rPr>
        <w:t xml:space="preserve"> animatrices villageoises dans la sensibilisation, le dépistage et la référence des cas.</w:t>
      </w:r>
    </w:p>
    <w:p w:rsidR="00D21BEF" w:rsidRPr="00D21BEF" w:rsidRDefault="00D21BEF" w:rsidP="00953D8F">
      <w:pPr>
        <w:spacing w:line="276" w:lineRule="auto"/>
        <w:jc w:val="both"/>
        <w:rPr>
          <w:rFonts w:ascii="Times New Roman" w:hAnsi="Times New Roman" w:cs="Times New Roman"/>
          <w:sz w:val="22"/>
          <w:szCs w:val="22"/>
        </w:rPr>
      </w:pPr>
    </w:p>
    <w:p w:rsidR="00953D8F" w:rsidRPr="00D21BEF" w:rsidRDefault="00D21BE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En 2020</w:t>
      </w:r>
      <w:r w:rsidR="00953D8F" w:rsidRPr="00D21BEF">
        <w:rPr>
          <w:rFonts w:ascii="Times New Roman" w:hAnsi="Times New Roman" w:cs="Times New Roman"/>
          <w:sz w:val="22"/>
          <w:szCs w:val="22"/>
        </w:rPr>
        <w:t>, le district a organisé deux journées de survie de l’enfant au cours desquelles, les enfants de 6 à 59 mois ont bénéficié de déparasitage et de supplémentation en vitamine A. Cette activité de prise en charge nutritionnelle prend en compte les femmes enceintes, en post partum et allaitantes. Le tableau ci-après fait le point de l’état nutritionnel des enfants et des mères da</w:t>
      </w:r>
      <w:r w:rsidRPr="00D21BEF">
        <w:rPr>
          <w:rFonts w:ascii="Times New Roman" w:hAnsi="Times New Roman" w:cs="Times New Roman"/>
          <w:sz w:val="22"/>
          <w:szCs w:val="22"/>
        </w:rPr>
        <w:t>ns le district sanitaire de 2019 à 2021</w:t>
      </w:r>
      <w:r w:rsidR="00953D8F" w:rsidRPr="00D21BEF">
        <w:rPr>
          <w:rFonts w:ascii="Times New Roman" w:hAnsi="Times New Roman" w:cs="Times New Roman"/>
          <w:sz w:val="22"/>
          <w:szCs w:val="22"/>
        </w:rPr>
        <w:t>.</w:t>
      </w:r>
    </w:p>
    <w:p w:rsidR="00D21BEF" w:rsidRDefault="00D21BEF" w:rsidP="00953D8F">
      <w:pPr>
        <w:spacing w:line="276" w:lineRule="auto"/>
        <w:jc w:val="both"/>
        <w:rPr>
          <w:rFonts w:ascii="Times New Roman" w:hAnsi="Times New Roman" w:cs="Times New Roman"/>
          <w:sz w:val="22"/>
          <w:szCs w:val="22"/>
        </w:rPr>
      </w:pPr>
    </w:p>
    <w:p w:rsidR="00D21BEF" w:rsidRDefault="00D21BEF" w:rsidP="00953D8F">
      <w:pPr>
        <w:spacing w:line="276" w:lineRule="auto"/>
        <w:jc w:val="both"/>
        <w:rPr>
          <w:rFonts w:ascii="Times New Roman" w:hAnsi="Times New Roman" w:cs="Times New Roman"/>
          <w:sz w:val="22"/>
          <w:szCs w:val="22"/>
        </w:rPr>
      </w:pPr>
    </w:p>
    <w:p w:rsidR="007B68A3" w:rsidRDefault="007B68A3" w:rsidP="00953D8F">
      <w:pPr>
        <w:spacing w:line="276" w:lineRule="auto"/>
        <w:jc w:val="both"/>
        <w:rPr>
          <w:rFonts w:ascii="Times New Roman" w:hAnsi="Times New Roman" w:cs="Times New Roman"/>
          <w:sz w:val="22"/>
          <w:szCs w:val="22"/>
        </w:rPr>
      </w:pPr>
    </w:p>
    <w:p w:rsidR="005B7F50" w:rsidRDefault="005B7F50" w:rsidP="00953D8F">
      <w:pPr>
        <w:spacing w:line="276" w:lineRule="auto"/>
        <w:jc w:val="both"/>
        <w:rPr>
          <w:rFonts w:ascii="Times New Roman" w:hAnsi="Times New Roman" w:cs="Times New Roman"/>
          <w:sz w:val="22"/>
          <w:szCs w:val="22"/>
        </w:rPr>
      </w:pPr>
    </w:p>
    <w:p w:rsidR="00D21BEF" w:rsidRPr="00D21BEF" w:rsidRDefault="00D21BEF" w:rsidP="00953D8F">
      <w:pPr>
        <w:spacing w:line="276" w:lineRule="auto"/>
        <w:jc w:val="both"/>
        <w:rPr>
          <w:rFonts w:ascii="Times New Roman" w:hAnsi="Times New Roman" w:cs="Times New Roman"/>
          <w:sz w:val="22"/>
          <w:szCs w:val="22"/>
        </w:rPr>
      </w:pPr>
    </w:p>
    <w:p w:rsidR="00953D8F" w:rsidRDefault="00953D8F" w:rsidP="00953D8F">
      <w:pPr>
        <w:spacing w:line="276" w:lineRule="auto"/>
        <w:jc w:val="both"/>
        <w:rPr>
          <w:rFonts w:ascii="Times New Roman" w:hAnsi="Times New Roman" w:cs="Times New Roman"/>
          <w:b/>
          <w:sz w:val="22"/>
          <w:szCs w:val="22"/>
        </w:rPr>
      </w:pPr>
      <w:r w:rsidRPr="00D21BEF">
        <w:rPr>
          <w:rFonts w:ascii="Times New Roman" w:hAnsi="Times New Roman" w:cs="Times New Roman"/>
          <w:b/>
          <w:sz w:val="22"/>
          <w:szCs w:val="22"/>
        </w:rPr>
        <w:lastRenderedPageBreak/>
        <w:t>Tablea</w:t>
      </w:r>
      <w:r w:rsidR="00D21BEF">
        <w:rPr>
          <w:rFonts w:ascii="Times New Roman" w:hAnsi="Times New Roman" w:cs="Times New Roman"/>
          <w:b/>
          <w:sz w:val="22"/>
          <w:szCs w:val="22"/>
        </w:rPr>
        <w:t xml:space="preserve">u 5 </w:t>
      </w:r>
      <w:r w:rsidRPr="00D21BEF">
        <w:rPr>
          <w:rFonts w:ascii="Times New Roman" w:hAnsi="Times New Roman" w:cs="Times New Roman"/>
          <w:b/>
          <w:sz w:val="22"/>
          <w:szCs w:val="22"/>
        </w:rPr>
        <w:t>: Etat nutritionnel des groupes cibles</w:t>
      </w:r>
      <w:r w:rsidR="00D21BEF">
        <w:rPr>
          <w:rFonts w:ascii="Times New Roman" w:hAnsi="Times New Roman" w:cs="Times New Roman"/>
          <w:b/>
          <w:sz w:val="22"/>
          <w:szCs w:val="22"/>
        </w:rPr>
        <w:t xml:space="preserve"> de 2019 à 2021</w:t>
      </w:r>
      <w:r w:rsidRPr="00D21BEF">
        <w:rPr>
          <w:rFonts w:ascii="Times New Roman" w:hAnsi="Times New Roman" w:cs="Times New Roman"/>
          <w:b/>
          <w:sz w:val="22"/>
          <w:szCs w:val="22"/>
        </w:rPr>
        <w:t xml:space="preserve"> dans le DS de </w:t>
      </w:r>
      <w:r w:rsidR="003D46BA" w:rsidRPr="00D21BEF">
        <w:rPr>
          <w:rFonts w:ascii="Times New Roman" w:hAnsi="Times New Roman" w:cs="Times New Roman"/>
          <w:b/>
          <w:sz w:val="22"/>
          <w:szCs w:val="22"/>
        </w:rPr>
        <w:t>Kolanga</w:t>
      </w:r>
    </w:p>
    <w:p w:rsidR="00D21BEF" w:rsidRPr="007B68A3" w:rsidRDefault="00D21BEF" w:rsidP="00D21BEF">
      <w:pPr>
        <w:jc w:val="both"/>
        <w:rPr>
          <w:rFonts w:ascii="Times New Roman" w:hAnsi="Times New Roman" w:cs="Times New Roman"/>
          <w:b/>
          <w:sz w:val="8"/>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34"/>
        <w:gridCol w:w="1134"/>
        <w:gridCol w:w="1134"/>
      </w:tblGrid>
      <w:tr w:rsidR="00953D8F" w:rsidRPr="00D21BEF" w:rsidTr="00D21BEF">
        <w:trPr>
          <w:trHeight w:val="131"/>
        </w:trPr>
        <w:tc>
          <w:tcPr>
            <w:tcW w:w="5240" w:type="dxa"/>
            <w:shd w:val="clear" w:color="auto" w:fill="auto"/>
            <w:vAlign w:val="bottom"/>
            <w:hideMark/>
          </w:tcPr>
          <w:p w:rsidR="00953D8F" w:rsidRPr="00D21BEF" w:rsidRDefault="00953D8F" w:rsidP="00D21BEF">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Items (%)</w:t>
            </w:r>
          </w:p>
        </w:tc>
        <w:tc>
          <w:tcPr>
            <w:tcW w:w="1134" w:type="dxa"/>
            <w:shd w:val="clear" w:color="auto" w:fill="auto"/>
            <w:vAlign w:val="bottom"/>
            <w:hideMark/>
          </w:tcPr>
          <w:p w:rsidR="00953D8F" w:rsidRPr="00D21BEF" w:rsidRDefault="00953D8F" w:rsidP="00D21BEF">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2012</w:t>
            </w:r>
          </w:p>
        </w:tc>
        <w:tc>
          <w:tcPr>
            <w:tcW w:w="1134" w:type="dxa"/>
            <w:shd w:val="clear" w:color="auto" w:fill="auto"/>
            <w:vAlign w:val="bottom"/>
          </w:tcPr>
          <w:p w:rsidR="00953D8F" w:rsidRPr="00D21BEF" w:rsidRDefault="00953D8F" w:rsidP="00D21BEF">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2013</w:t>
            </w:r>
          </w:p>
        </w:tc>
        <w:tc>
          <w:tcPr>
            <w:tcW w:w="1134" w:type="dxa"/>
            <w:shd w:val="clear" w:color="auto" w:fill="auto"/>
            <w:vAlign w:val="bottom"/>
          </w:tcPr>
          <w:p w:rsidR="00953D8F" w:rsidRPr="00D21BEF" w:rsidRDefault="00953D8F" w:rsidP="00D21BEF">
            <w:pPr>
              <w:spacing w:line="276" w:lineRule="auto"/>
              <w:jc w:val="center"/>
              <w:rPr>
                <w:rFonts w:ascii="Times New Roman" w:hAnsi="Times New Roman" w:cs="Times New Roman"/>
                <w:b/>
                <w:sz w:val="22"/>
                <w:szCs w:val="22"/>
              </w:rPr>
            </w:pPr>
            <w:r w:rsidRPr="00D21BEF">
              <w:rPr>
                <w:rFonts w:ascii="Times New Roman" w:hAnsi="Times New Roman" w:cs="Times New Roman"/>
                <w:b/>
                <w:sz w:val="22"/>
                <w:szCs w:val="22"/>
              </w:rPr>
              <w:t>2014</w:t>
            </w:r>
          </w:p>
        </w:tc>
      </w:tr>
      <w:tr w:rsidR="00953D8F" w:rsidRPr="00D21BEF" w:rsidTr="00D21BEF">
        <w:trPr>
          <w:trHeight w:val="67"/>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Goitre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ND</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ND</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ND</w:t>
            </w:r>
          </w:p>
        </w:tc>
      </w:tr>
      <w:tr w:rsidR="00953D8F" w:rsidRPr="00D21BEF" w:rsidTr="00D21BEF">
        <w:trPr>
          <w:trHeight w:val="67"/>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Enfants malnutris aigus sévères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3,33</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4,42</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1,93</w:t>
            </w:r>
          </w:p>
        </w:tc>
      </w:tr>
      <w:tr w:rsidR="00953D8F" w:rsidRPr="00D21BEF" w:rsidTr="00D21BEF">
        <w:trPr>
          <w:trHeight w:val="271"/>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Enfants malnutris aigus modérés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26,12</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27,75</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31,63</w:t>
            </w:r>
          </w:p>
        </w:tc>
      </w:tr>
      <w:tr w:rsidR="00953D8F" w:rsidRPr="00D21BEF" w:rsidTr="00D21BEF">
        <w:trPr>
          <w:trHeight w:val="94"/>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Enfants anémiés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0,33</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0 ,39</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0,31</w:t>
            </w:r>
          </w:p>
        </w:tc>
      </w:tr>
      <w:tr w:rsidR="00953D8F" w:rsidRPr="00D21BEF" w:rsidTr="00D21BEF">
        <w:trPr>
          <w:trHeight w:val="237"/>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Enfants de faible poids de naissance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8,04</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7,3</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6,06</w:t>
            </w:r>
          </w:p>
        </w:tc>
      </w:tr>
      <w:tr w:rsidR="00953D8F" w:rsidRPr="00D21BEF" w:rsidTr="00D21BEF">
        <w:trPr>
          <w:trHeight w:val="67"/>
        </w:trPr>
        <w:tc>
          <w:tcPr>
            <w:tcW w:w="5240" w:type="dxa"/>
            <w:shd w:val="clear" w:color="auto" w:fill="auto"/>
            <w:vAlign w:val="center"/>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Femmes enceintes malnutries</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685</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1726</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808</w:t>
            </w:r>
          </w:p>
        </w:tc>
      </w:tr>
      <w:tr w:rsidR="00953D8F" w:rsidRPr="00D21BEF" w:rsidTr="00D21BEF">
        <w:trPr>
          <w:trHeight w:val="237"/>
        </w:trPr>
        <w:tc>
          <w:tcPr>
            <w:tcW w:w="5240" w:type="dxa"/>
            <w:shd w:val="clear" w:color="auto" w:fill="auto"/>
            <w:vAlign w:val="center"/>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Femmes allaitantes malnutries</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860</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2162</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1076</w:t>
            </w:r>
          </w:p>
        </w:tc>
      </w:tr>
      <w:tr w:rsidR="00953D8F" w:rsidRPr="00D21BEF" w:rsidTr="00D21BEF">
        <w:trPr>
          <w:trHeight w:val="67"/>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Femmes enceintes anémiées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0,11</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0,32</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0,18</w:t>
            </w:r>
          </w:p>
        </w:tc>
      </w:tr>
      <w:tr w:rsidR="00953D8F" w:rsidRPr="00D21BEF" w:rsidTr="00D21BEF">
        <w:trPr>
          <w:trHeight w:val="67"/>
        </w:trPr>
        <w:tc>
          <w:tcPr>
            <w:tcW w:w="5240" w:type="dxa"/>
            <w:shd w:val="clear" w:color="auto" w:fill="auto"/>
            <w:vAlign w:val="center"/>
            <w:hideMark/>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Femmes post partum supplémentées en vitamine A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30,43</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44,25</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83,57</w:t>
            </w:r>
          </w:p>
        </w:tc>
      </w:tr>
      <w:tr w:rsidR="00953D8F" w:rsidRPr="00D21BEF" w:rsidTr="00D21BEF">
        <w:trPr>
          <w:trHeight w:val="275"/>
        </w:trPr>
        <w:tc>
          <w:tcPr>
            <w:tcW w:w="5240" w:type="dxa"/>
            <w:shd w:val="clear" w:color="auto" w:fill="auto"/>
            <w:vAlign w:val="center"/>
          </w:tcPr>
          <w:p w:rsidR="00953D8F" w:rsidRPr="005B7F50" w:rsidRDefault="00953D8F" w:rsidP="00D21BEF">
            <w:pPr>
              <w:snapToGrid w:val="0"/>
              <w:spacing w:line="276" w:lineRule="auto"/>
              <w:jc w:val="both"/>
              <w:rPr>
                <w:rFonts w:ascii="Times New Roman" w:hAnsi="Times New Roman" w:cs="Times New Roman"/>
                <w:sz w:val="20"/>
                <w:szCs w:val="20"/>
              </w:rPr>
            </w:pPr>
            <w:r w:rsidRPr="005B7F50">
              <w:rPr>
                <w:rFonts w:ascii="Times New Roman" w:hAnsi="Times New Roman" w:cs="Times New Roman"/>
                <w:sz w:val="20"/>
                <w:szCs w:val="20"/>
              </w:rPr>
              <w:t>Enfants de 6-59 mois supplémentés en vitamine A (%)</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97,97</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100,2</w:t>
            </w:r>
          </w:p>
        </w:tc>
        <w:tc>
          <w:tcPr>
            <w:tcW w:w="1134" w:type="dxa"/>
            <w:shd w:val="clear" w:color="auto" w:fill="auto"/>
            <w:vAlign w:val="center"/>
          </w:tcPr>
          <w:p w:rsidR="00953D8F" w:rsidRPr="005B7F50" w:rsidRDefault="00953D8F" w:rsidP="00D21BEF">
            <w:pPr>
              <w:snapToGrid w:val="0"/>
              <w:spacing w:line="276" w:lineRule="auto"/>
              <w:jc w:val="center"/>
              <w:rPr>
                <w:rFonts w:ascii="Times New Roman" w:hAnsi="Times New Roman" w:cs="Times New Roman"/>
                <w:sz w:val="20"/>
                <w:szCs w:val="20"/>
              </w:rPr>
            </w:pPr>
            <w:r w:rsidRPr="005B7F50">
              <w:rPr>
                <w:rFonts w:ascii="Times New Roman" w:hAnsi="Times New Roman" w:cs="Times New Roman"/>
                <w:sz w:val="20"/>
                <w:szCs w:val="20"/>
              </w:rPr>
              <w:t>95,97</w:t>
            </w:r>
          </w:p>
        </w:tc>
      </w:tr>
    </w:tbl>
    <w:p w:rsidR="00D21BEF" w:rsidRPr="007B68A3" w:rsidRDefault="00D21BEF" w:rsidP="00953D8F">
      <w:pPr>
        <w:spacing w:line="276" w:lineRule="auto"/>
        <w:jc w:val="both"/>
        <w:rPr>
          <w:rFonts w:ascii="Times New Roman" w:hAnsi="Times New Roman" w:cs="Times New Roman"/>
          <w:sz w:val="16"/>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Tous les groupes vulnérables sont touchés par la malnutrition aiguë. Le dépistage et la prise en charge de la malnutrition connai</w:t>
      </w:r>
      <w:r w:rsidR="00D21BEF">
        <w:rPr>
          <w:rFonts w:ascii="Times New Roman" w:hAnsi="Times New Roman" w:cs="Times New Roman"/>
          <w:sz w:val="22"/>
          <w:szCs w:val="22"/>
        </w:rPr>
        <w:t xml:space="preserve">t une nette amélioration </w:t>
      </w:r>
      <w:r w:rsidR="00287227">
        <w:rPr>
          <w:rFonts w:ascii="Times New Roman" w:hAnsi="Times New Roman" w:cs="Times New Roman"/>
          <w:sz w:val="22"/>
          <w:szCs w:val="22"/>
        </w:rPr>
        <w:t xml:space="preserve">de 2019 à </w:t>
      </w:r>
      <w:r w:rsidR="00D21BEF">
        <w:rPr>
          <w:rFonts w:ascii="Times New Roman" w:hAnsi="Times New Roman" w:cs="Times New Roman"/>
          <w:sz w:val="22"/>
          <w:szCs w:val="22"/>
        </w:rPr>
        <w:t>2021</w:t>
      </w:r>
      <w:r w:rsidRPr="00D21BEF">
        <w:rPr>
          <w:rFonts w:ascii="Times New Roman" w:hAnsi="Times New Roman" w:cs="Times New Roman"/>
          <w:sz w:val="22"/>
          <w:szCs w:val="22"/>
        </w:rPr>
        <w:t xml:space="preserve"> dans le district de </w:t>
      </w:r>
      <w:r w:rsidR="003D46BA" w:rsidRPr="00D21BEF">
        <w:rPr>
          <w:rFonts w:ascii="Times New Roman" w:hAnsi="Times New Roman" w:cs="Times New Roman"/>
          <w:sz w:val="22"/>
          <w:szCs w:val="22"/>
        </w:rPr>
        <w:t>Kolanga</w:t>
      </w:r>
      <w:r w:rsidRPr="00D21BEF">
        <w:rPr>
          <w:rFonts w:ascii="Times New Roman" w:hAnsi="Times New Roman" w:cs="Times New Roman"/>
          <w:sz w:val="22"/>
          <w:szCs w:val="22"/>
        </w:rPr>
        <w:t xml:space="preserve">. Cette situation est favorisée par le passage à l’échelle de la PCIMA dans le district. Aussi, il faut signaler l’apport des partenaires comme la Croix Rouge et </w:t>
      </w:r>
      <w:r w:rsidR="00D21BEF">
        <w:rPr>
          <w:rFonts w:ascii="Times New Roman" w:hAnsi="Times New Roman" w:cs="Times New Roman"/>
          <w:sz w:val="22"/>
          <w:szCs w:val="22"/>
        </w:rPr>
        <w:t>UNICEF</w:t>
      </w:r>
      <w:r w:rsidRPr="00D21BEF">
        <w:rPr>
          <w:rFonts w:ascii="Times New Roman" w:hAnsi="Times New Roman" w:cs="Times New Roman"/>
          <w:sz w:val="22"/>
          <w:szCs w:val="22"/>
        </w:rPr>
        <w:t>. Par ailleurs, certains indicateurs sont restés stables, voire se sont détériorés en 2014. De plus les données de l’enquête SMART montrent une augmentation de la prévalence de la malnutrition, passant d</w:t>
      </w:r>
      <w:r w:rsidR="00D21BEF">
        <w:rPr>
          <w:rFonts w:ascii="Times New Roman" w:hAnsi="Times New Roman" w:cs="Times New Roman"/>
          <w:sz w:val="22"/>
          <w:szCs w:val="22"/>
        </w:rPr>
        <w:t>e 10,8% en 2013 à 14,2% en 2014</w:t>
      </w:r>
      <w:r w:rsidRPr="00D21BEF">
        <w:rPr>
          <w:rFonts w:ascii="Times New Roman" w:hAnsi="Times New Roman" w:cs="Times New Roman"/>
          <w:sz w:val="22"/>
          <w:szCs w:val="22"/>
        </w:rPr>
        <w:t>. On note une insuffisance dans le rapportage des données sur le dépistage du goitre. Il existe une sous notification des cas d’anémie chez les femmes enceintes liée à l’absence d’examens paracliniques dans les formations sanitaires périphériques.</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 taux de supplémentation en vitamine A chez les femmes en post pa</w:t>
      </w:r>
      <w:r w:rsidR="00D21BEF">
        <w:rPr>
          <w:rFonts w:ascii="Times New Roman" w:hAnsi="Times New Roman" w:cs="Times New Roman"/>
          <w:sz w:val="22"/>
          <w:szCs w:val="22"/>
        </w:rPr>
        <w:t>rtum est en progression. En 2020</w:t>
      </w:r>
      <w:r w:rsidRPr="00D21BEF">
        <w:rPr>
          <w:rFonts w:ascii="Times New Roman" w:hAnsi="Times New Roman" w:cs="Times New Roman"/>
          <w:sz w:val="22"/>
          <w:szCs w:val="22"/>
        </w:rPr>
        <w:t>, elle a atteint l’objectif national (80%). Mais cela demeure insuffisant car certaines femmes ne bénéficient pas de cette supplémentation due aux ruptures ponctuelles. Par ailleurs, la supplémentation en vitamine A chez les enfants de 6 à 59 mois lors des campagnes a permis d’avoir des couvertures satisfaisantes (101,28%) par rapport à l’objectif attendu (90%).</w:t>
      </w:r>
    </w:p>
    <w:p w:rsidR="00D21BEF" w:rsidRPr="007B68A3" w:rsidRDefault="00D21BEF" w:rsidP="00953D8F">
      <w:pPr>
        <w:spacing w:line="276" w:lineRule="auto"/>
        <w:jc w:val="both"/>
        <w:rPr>
          <w:rFonts w:ascii="Times New Roman" w:hAnsi="Times New Roman" w:cs="Times New Roman"/>
          <w:sz w:val="13"/>
          <w:szCs w:val="22"/>
        </w:rPr>
      </w:pPr>
      <w:bookmarkStart w:id="73" w:name="_Toc323052270"/>
      <w:bookmarkStart w:id="74" w:name="_Toc423277108"/>
    </w:p>
    <w:p w:rsidR="00953D8F" w:rsidRPr="00D21BEF" w:rsidRDefault="00D21BEF" w:rsidP="00D21BEF">
      <w:pPr>
        <w:snapToGrid w:val="0"/>
        <w:spacing w:after="120"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2.6. </w:t>
      </w:r>
      <w:r w:rsidR="00953D8F" w:rsidRPr="00D21BEF">
        <w:rPr>
          <w:rFonts w:ascii="Times New Roman" w:hAnsi="Times New Roman" w:cs="Times New Roman"/>
          <w:i/>
          <w:sz w:val="22"/>
          <w:szCs w:val="22"/>
        </w:rPr>
        <w:t>Santé des jeunes, des adolescents et des personnes âgées</w:t>
      </w:r>
      <w:bookmarkEnd w:id="73"/>
      <w:bookmarkEnd w:id="74"/>
    </w:p>
    <w:p w:rsidR="00953D8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La population du district est caractérisée par sa forte jeunesse (32,19%). Le district regorge de nombreux sites d’orpaillages artisanaux dans les aires sanitair</w:t>
      </w:r>
      <w:r w:rsidR="00D21BEF">
        <w:rPr>
          <w:rFonts w:ascii="Times New Roman" w:hAnsi="Times New Roman" w:cs="Times New Roman"/>
          <w:sz w:val="22"/>
          <w:szCs w:val="22"/>
        </w:rPr>
        <w:t>es de Tossou, Passa et Baran</w:t>
      </w:r>
      <w:r w:rsidRPr="00D21BEF">
        <w:rPr>
          <w:rFonts w:ascii="Times New Roman" w:hAnsi="Times New Roman" w:cs="Times New Roman"/>
          <w:sz w:val="22"/>
          <w:szCs w:val="22"/>
        </w:rPr>
        <w:t>, exposant les jeunes et adolescents à la consommation de substances psychoactives, à l’alcoolisme, à la délinquance et à la prostitution. Aussi, la prise en charge de la santé des personnes âgées se limite le plus souvent à la visite médicale annuelle des retraités. Lors de ces visites, les pathologies comme le diabète et les HTA, les pathologies cardio-vasculaires et rénales sont fréquemment rencontrées. Le traitement et le suivi de ces malades sont difficiles à cause des revenus très limités des patients.</w:t>
      </w:r>
    </w:p>
    <w:p w:rsidR="00D21BEF" w:rsidRPr="007B68A3" w:rsidRDefault="00D21BEF" w:rsidP="00953D8F">
      <w:pPr>
        <w:spacing w:line="276" w:lineRule="auto"/>
        <w:jc w:val="both"/>
        <w:rPr>
          <w:rFonts w:ascii="Times New Roman" w:hAnsi="Times New Roman" w:cs="Times New Roman"/>
          <w:sz w:val="15"/>
          <w:szCs w:val="22"/>
        </w:rPr>
      </w:pPr>
    </w:p>
    <w:p w:rsidR="00953D8F" w:rsidRPr="00D21BEF" w:rsidRDefault="00953D8F" w:rsidP="00953D8F">
      <w:pPr>
        <w:spacing w:line="276" w:lineRule="auto"/>
        <w:jc w:val="both"/>
        <w:rPr>
          <w:rFonts w:ascii="Times New Roman" w:hAnsi="Times New Roman" w:cs="Times New Roman"/>
          <w:b/>
        </w:rPr>
      </w:pPr>
      <w:r w:rsidRPr="00D21BEF">
        <w:rPr>
          <w:rFonts w:ascii="Times New Roman" w:hAnsi="Times New Roman" w:cs="Times New Roman"/>
          <w:b/>
        </w:rPr>
        <w:t xml:space="preserve"> </w:t>
      </w:r>
      <w:bookmarkStart w:id="75" w:name="_Toc423277109"/>
      <w:r w:rsidR="00D21BEF" w:rsidRPr="00D21BEF">
        <w:rPr>
          <w:rFonts w:ascii="Times New Roman" w:hAnsi="Times New Roman" w:cs="Times New Roman"/>
          <w:b/>
        </w:rPr>
        <w:t xml:space="preserve">3. </w:t>
      </w:r>
      <w:r w:rsidRPr="00D21BEF">
        <w:rPr>
          <w:rFonts w:ascii="Times New Roman" w:hAnsi="Times New Roman" w:cs="Times New Roman"/>
          <w:b/>
        </w:rPr>
        <w:t xml:space="preserve">Analyse des </w:t>
      </w:r>
      <w:hyperlink w:anchor="_Toc229972662" w:history="1">
        <w:bookmarkStart w:id="76" w:name="_Toc284411735"/>
        <w:bookmarkStart w:id="77" w:name="_Toc316331254"/>
        <w:bookmarkStart w:id="78" w:name="_Toc316331315"/>
        <w:bookmarkStart w:id="79" w:name="_Toc316331375"/>
        <w:bookmarkStart w:id="80" w:name="_Toc316331518"/>
        <w:bookmarkStart w:id="81" w:name="_Toc316331578"/>
        <w:bookmarkStart w:id="82" w:name="_Toc316331862"/>
        <w:bookmarkStart w:id="83" w:name="_Toc316332040"/>
        <w:bookmarkStart w:id="84" w:name="_Toc316332141"/>
        <w:r w:rsidRPr="00D21BEF">
          <w:rPr>
            <w:rFonts w:ascii="Times New Roman" w:hAnsi="Times New Roman" w:cs="Times New Roman"/>
            <w:b/>
          </w:rPr>
          <w:t>ressources</w:t>
        </w:r>
        <w:bookmarkEnd w:id="75"/>
        <w:bookmarkEnd w:id="76"/>
        <w:bookmarkEnd w:id="77"/>
        <w:bookmarkEnd w:id="78"/>
        <w:bookmarkEnd w:id="79"/>
        <w:bookmarkEnd w:id="80"/>
        <w:bookmarkEnd w:id="81"/>
        <w:bookmarkEnd w:id="82"/>
        <w:bookmarkEnd w:id="83"/>
        <w:bookmarkEnd w:id="84"/>
      </w:hyperlink>
    </w:p>
    <w:p w:rsidR="00D21BEF" w:rsidRDefault="00D21BEF" w:rsidP="00953D8F">
      <w:pPr>
        <w:spacing w:line="276" w:lineRule="auto"/>
        <w:jc w:val="both"/>
        <w:rPr>
          <w:rFonts w:ascii="Times New Roman" w:hAnsi="Times New Roman" w:cs="Times New Roman"/>
          <w:sz w:val="22"/>
          <w:szCs w:val="22"/>
        </w:rPr>
      </w:pPr>
      <w:bookmarkStart w:id="85" w:name="_Toc284411736"/>
      <w:bookmarkStart w:id="86" w:name="_Toc316331255"/>
      <w:bookmarkStart w:id="87" w:name="_Toc316331316"/>
      <w:bookmarkStart w:id="88" w:name="_Toc316331376"/>
      <w:bookmarkStart w:id="89" w:name="_Toc316331519"/>
      <w:bookmarkStart w:id="90" w:name="_Toc316331579"/>
      <w:bookmarkStart w:id="91" w:name="_Toc316331863"/>
      <w:bookmarkStart w:id="92" w:name="_Toc316332041"/>
      <w:bookmarkStart w:id="93" w:name="_Toc316332142"/>
      <w:bookmarkStart w:id="94" w:name="_Toc326392679"/>
      <w:bookmarkStart w:id="95" w:name="_Toc326557775"/>
      <w:bookmarkStart w:id="96" w:name="_Toc423277110"/>
    </w:p>
    <w:p w:rsidR="00A757CC" w:rsidRPr="00D21BEF" w:rsidRDefault="00D21BEF" w:rsidP="007B68A3">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3.1. </w:t>
      </w:r>
      <w:r w:rsidR="00953D8F" w:rsidRPr="00D21BEF">
        <w:rPr>
          <w:rFonts w:ascii="Times New Roman" w:hAnsi="Times New Roman" w:cs="Times New Roman"/>
          <w:i/>
          <w:sz w:val="22"/>
          <w:szCs w:val="22"/>
        </w:rPr>
        <w:t>Infrastructures sanitaires publiques et privées</w:t>
      </w:r>
      <w:bookmarkEnd w:id="85"/>
      <w:bookmarkEnd w:id="86"/>
      <w:bookmarkEnd w:id="87"/>
      <w:bookmarkEnd w:id="88"/>
      <w:bookmarkEnd w:id="89"/>
      <w:bookmarkEnd w:id="90"/>
      <w:bookmarkEnd w:id="91"/>
      <w:bookmarkEnd w:id="92"/>
      <w:bookmarkEnd w:id="93"/>
      <w:bookmarkEnd w:id="94"/>
      <w:bookmarkEnd w:id="95"/>
      <w:bookmarkEnd w:id="96"/>
    </w:p>
    <w:p w:rsidR="00282923" w:rsidRDefault="00187C90"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Le district compte 24</w:t>
      </w:r>
      <w:r w:rsidR="00953D8F" w:rsidRPr="00D21BEF">
        <w:rPr>
          <w:rFonts w:ascii="Times New Roman" w:hAnsi="Times New Roman" w:cs="Times New Roman"/>
          <w:sz w:val="22"/>
          <w:szCs w:val="22"/>
        </w:rPr>
        <w:t xml:space="preserve"> structures sanitaires dont un hôpital de district qui est le centre de référe</w:t>
      </w:r>
      <w:r>
        <w:rPr>
          <w:rFonts w:ascii="Times New Roman" w:hAnsi="Times New Roman" w:cs="Times New Roman"/>
          <w:sz w:val="22"/>
          <w:szCs w:val="22"/>
        </w:rPr>
        <w:t>nce, un centre médical, dix-huit</w:t>
      </w:r>
      <w:r w:rsidR="00953D8F" w:rsidRPr="00D21BEF">
        <w:rPr>
          <w:rFonts w:ascii="Times New Roman" w:hAnsi="Times New Roman" w:cs="Times New Roman"/>
          <w:sz w:val="22"/>
          <w:szCs w:val="22"/>
        </w:rPr>
        <w:t xml:space="preserve"> </w:t>
      </w:r>
      <w:r w:rsidR="00D21BEF">
        <w:rPr>
          <w:rFonts w:ascii="Times New Roman" w:hAnsi="Times New Roman" w:cs="Times New Roman"/>
          <w:sz w:val="22"/>
          <w:szCs w:val="22"/>
        </w:rPr>
        <w:t>formations sanitaires (FOSA)</w:t>
      </w:r>
      <w:r w:rsidR="00953D8F" w:rsidRPr="00D21BEF">
        <w:rPr>
          <w:rFonts w:ascii="Times New Roman" w:hAnsi="Times New Roman" w:cs="Times New Roman"/>
          <w:sz w:val="22"/>
          <w:szCs w:val="22"/>
        </w:rPr>
        <w:t xml:space="preserve"> dont </w:t>
      </w:r>
      <w:r w:rsidR="00282923">
        <w:rPr>
          <w:rFonts w:ascii="Times New Roman" w:hAnsi="Times New Roman" w:cs="Times New Roman"/>
          <w:sz w:val="22"/>
          <w:szCs w:val="22"/>
        </w:rPr>
        <w:t>huit</w:t>
      </w:r>
      <w:r w:rsidR="00953D8F" w:rsidRPr="00D21BEF">
        <w:rPr>
          <w:rFonts w:ascii="Times New Roman" w:hAnsi="Times New Roman" w:cs="Times New Roman"/>
          <w:sz w:val="22"/>
          <w:szCs w:val="22"/>
        </w:rPr>
        <w:t xml:space="preserve"> ne respectent pas les normes de construction, </w:t>
      </w:r>
      <w:r w:rsidR="00282923">
        <w:rPr>
          <w:rFonts w:ascii="Times New Roman" w:hAnsi="Times New Roman" w:cs="Times New Roman"/>
          <w:sz w:val="22"/>
          <w:szCs w:val="22"/>
        </w:rPr>
        <w:t>deux</w:t>
      </w:r>
      <w:r w:rsidR="00282923" w:rsidRPr="00D21BEF">
        <w:rPr>
          <w:rFonts w:ascii="Times New Roman" w:hAnsi="Times New Roman" w:cs="Times New Roman"/>
          <w:sz w:val="22"/>
          <w:szCs w:val="22"/>
        </w:rPr>
        <w:t xml:space="preserve"> centres</w:t>
      </w:r>
      <w:r w:rsidR="00953D8F" w:rsidRPr="00D21BEF">
        <w:rPr>
          <w:rFonts w:ascii="Times New Roman" w:hAnsi="Times New Roman" w:cs="Times New Roman"/>
          <w:sz w:val="22"/>
          <w:szCs w:val="22"/>
        </w:rPr>
        <w:t xml:space="preserve"> de santé confessionnel, une infirmerie de garnison et u</w:t>
      </w:r>
      <w:r w:rsidR="00282923">
        <w:rPr>
          <w:rFonts w:ascii="Times New Roman" w:hAnsi="Times New Roman" w:cs="Times New Roman"/>
          <w:sz w:val="22"/>
          <w:szCs w:val="22"/>
        </w:rPr>
        <w:t xml:space="preserve">ne clinique de la mine d’or de Iamgold SA. Le district </w:t>
      </w:r>
      <w:r w:rsidR="00953D8F" w:rsidRPr="00D21BEF">
        <w:rPr>
          <w:rFonts w:ascii="Times New Roman" w:hAnsi="Times New Roman" w:cs="Times New Roman"/>
          <w:sz w:val="22"/>
          <w:szCs w:val="22"/>
        </w:rPr>
        <w:t xml:space="preserve">compte également une officine et </w:t>
      </w:r>
      <w:r w:rsidR="00282923">
        <w:rPr>
          <w:rFonts w:ascii="Times New Roman" w:hAnsi="Times New Roman" w:cs="Times New Roman"/>
          <w:sz w:val="22"/>
          <w:szCs w:val="22"/>
        </w:rPr>
        <w:t>5</w:t>
      </w:r>
      <w:r w:rsidR="00953D8F" w:rsidRPr="00D21BEF">
        <w:rPr>
          <w:rFonts w:ascii="Times New Roman" w:hAnsi="Times New Roman" w:cs="Times New Roman"/>
          <w:sz w:val="22"/>
          <w:szCs w:val="22"/>
        </w:rPr>
        <w:t xml:space="preserve"> dépôts pharmaceutiques privés. </w:t>
      </w:r>
    </w:p>
    <w:p w:rsidR="00282923" w:rsidRDefault="00282923" w:rsidP="00282923">
      <w:pPr>
        <w:jc w:val="both"/>
        <w:rPr>
          <w:rFonts w:ascii="Times New Roman" w:hAnsi="Times New Roman" w:cs="Times New Roman"/>
          <w:sz w:val="22"/>
          <w:szCs w:val="22"/>
        </w:rPr>
      </w:pPr>
    </w:p>
    <w:p w:rsidR="00282923" w:rsidRPr="00282923" w:rsidRDefault="00953D8F" w:rsidP="00282923">
      <w:pPr>
        <w:pStyle w:val="Paragraphedeliste"/>
        <w:numPr>
          <w:ilvl w:val="0"/>
          <w:numId w:val="12"/>
        </w:numPr>
        <w:spacing w:line="276" w:lineRule="auto"/>
        <w:jc w:val="both"/>
        <w:rPr>
          <w:rFonts w:ascii="Times New Roman" w:hAnsi="Times New Roman" w:cs="Times New Roman"/>
          <w:sz w:val="22"/>
          <w:szCs w:val="22"/>
        </w:rPr>
      </w:pPr>
      <w:r w:rsidRPr="00282923">
        <w:rPr>
          <w:rFonts w:ascii="Times New Roman" w:hAnsi="Times New Roman" w:cs="Times New Roman"/>
          <w:sz w:val="22"/>
          <w:szCs w:val="22"/>
        </w:rPr>
        <w:t>Situation de l’hôpital du district</w:t>
      </w:r>
    </w:p>
    <w:p w:rsidR="00953D8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L’hôpital du district de </w:t>
      </w:r>
      <w:r w:rsidR="003D46BA" w:rsidRPr="00D21BEF">
        <w:rPr>
          <w:rFonts w:ascii="Times New Roman" w:hAnsi="Times New Roman" w:cs="Times New Roman"/>
          <w:sz w:val="22"/>
          <w:szCs w:val="22"/>
        </w:rPr>
        <w:t>Kolanga</w:t>
      </w:r>
      <w:r w:rsidRPr="00D21BEF">
        <w:rPr>
          <w:rFonts w:ascii="Times New Roman" w:hAnsi="Times New Roman" w:cs="Times New Roman"/>
          <w:sz w:val="22"/>
          <w:szCs w:val="22"/>
        </w:rPr>
        <w:t xml:space="preserve"> est vétuste et inadapté dans son ensemble. Les bâtiments du bloc opératoire et du laboratoire ne répondent pas aux normes de construction d’un bloc opératoire. La clôture de l’hôpital </w:t>
      </w:r>
      <w:r w:rsidR="00282923">
        <w:rPr>
          <w:rFonts w:ascii="Times New Roman" w:hAnsi="Times New Roman" w:cs="Times New Roman"/>
          <w:sz w:val="22"/>
          <w:szCs w:val="22"/>
        </w:rPr>
        <w:t>est en terre</w:t>
      </w:r>
      <w:r w:rsidRPr="00D21BEF">
        <w:rPr>
          <w:rFonts w:ascii="Times New Roman" w:hAnsi="Times New Roman" w:cs="Times New Roman"/>
          <w:sz w:val="22"/>
          <w:szCs w:val="22"/>
        </w:rPr>
        <w:t xml:space="preserve">, et quasi inexistante par endroits, laissant libre passage aux animaux. Aussi, les locaux du dépôt </w:t>
      </w:r>
      <w:r w:rsidR="00282923">
        <w:rPr>
          <w:rFonts w:ascii="Times New Roman" w:hAnsi="Times New Roman" w:cs="Times New Roman"/>
          <w:sz w:val="22"/>
          <w:szCs w:val="22"/>
        </w:rPr>
        <w:t>de médicaments</w:t>
      </w:r>
      <w:r w:rsidRPr="00D21BEF">
        <w:rPr>
          <w:rFonts w:ascii="Times New Roman" w:hAnsi="Times New Roman" w:cs="Times New Roman"/>
          <w:sz w:val="22"/>
          <w:szCs w:val="22"/>
        </w:rPr>
        <w:t xml:space="preserve"> sont vétustes et inadaptés. Par ailleurs, l’hôpital du district ne dispose pas de morgue, d’aire de lavage, de buanderie et de ré</w:t>
      </w:r>
      <w:r w:rsidR="00282923">
        <w:rPr>
          <w:rFonts w:ascii="Times New Roman" w:hAnsi="Times New Roman" w:cs="Times New Roman"/>
          <w:sz w:val="22"/>
          <w:szCs w:val="22"/>
        </w:rPr>
        <w:t>fectoire. Le château d’eau est en panne depuis 2015</w:t>
      </w:r>
      <w:r w:rsidRPr="00D21BEF">
        <w:rPr>
          <w:rFonts w:ascii="Times New Roman" w:hAnsi="Times New Roman" w:cs="Times New Roman"/>
          <w:sz w:val="22"/>
          <w:szCs w:val="22"/>
        </w:rPr>
        <w:t>. Les logements administratifs sont aussi vétustes, inadap</w:t>
      </w:r>
      <w:r w:rsidR="00282923">
        <w:rPr>
          <w:rFonts w:ascii="Times New Roman" w:hAnsi="Times New Roman" w:cs="Times New Roman"/>
          <w:sz w:val="22"/>
          <w:szCs w:val="22"/>
        </w:rPr>
        <w:t>tés et en état de délabrement.</w:t>
      </w:r>
    </w:p>
    <w:p w:rsidR="00282923" w:rsidRDefault="00282923" w:rsidP="00282923">
      <w:pPr>
        <w:jc w:val="both"/>
        <w:rPr>
          <w:rFonts w:ascii="Times New Roman" w:hAnsi="Times New Roman" w:cs="Times New Roman"/>
          <w:sz w:val="22"/>
          <w:szCs w:val="22"/>
        </w:rPr>
      </w:pPr>
    </w:p>
    <w:p w:rsidR="002A680C" w:rsidRPr="00D21BEF" w:rsidRDefault="002A680C" w:rsidP="00282923">
      <w:pPr>
        <w:jc w:val="both"/>
        <w:rPr>
          <w:rFonts w:ascii="Times New Roman" w:hAnsi="Times New Roman" w:cs="Times New Roman"/>
          <w:sz w:val="22"/>
          <w:szCs w:val="22"/>
        </w:rPr>
      </w:pPr>
    </w:p>
    <w:p w:rsidR="00282923" w:rsidRPr="00282923" w:rsidRDefault="00282923" w:rsidP="00282923">
      <w:pPr>
        <w:pStyle w:val="Paragraphedeliste"/>
        <w:numPr>
          <w:ilvl w:val="0"/>
          <w:numId w:val="12"/>
        </w:num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Situation des FOSA</w:t>
      </w:r>
    </w:p>
    <w:p w:rsidR="00282923"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La plupart des formations sanitaires ne sont pas bornées et ne disposent pas de clôture. L’insuffisance des infrastructures au niveau des formations sanitaires se traduit aussi par un manque crucial de logements. Les agents sont parfois obligés de cohabiter ensemble ou de loger au village. </w:t>
      </w:r>
      <w:r w:rsidR="00282923">
        <w:rPr>
          <w:rFonts w:ascii="Times New Roman" w:hAnsi="Times New Roman" w:cs="Times New Roman"/>
          <w:sz w:val="22"/>
          <w:szCs w:val="22"/>
        </w:rPr>
        <w:t>Cinq</w:t>
      </w:r>
      <w:r w:rsidR="00187C90">
        <w:rPr>
          <w:rFonts w:ascii="Times New Roman" w:hAnsi="Times New Roman" w:cs="Times New Roman"/>
          <w:sz w:val="22"/>
          <w:szCs w:val="22"/>
        </w:rPr>
        <w:t xml:space="preserve"> formations sanitaires sur 18</w:t>
      </w:r>
      <w:r w:rsidRPr="00D21BEF">
        <w:rPr>
          <w:rFonts w:ascii="Times New Roman" w:hAnsi="Times New Roman" w:cs="Times New Roman"/>
          <w:sz w:val="22"/>
          <w:szCs w:val="22"/>
        </w:rPr>
        <w:t xml:space="preserve"> répondent aux normes nationales en matière d’infrastructures sanitaires ;</w:t>
      </w:r>
      <w:r w:rsidR="00282923">
        <w:rPr>
          <w:rFonts w:ascii="Times New Roman" w:hAnsi="Times New Roman" w:cs="Times New Roman"/>
          <w:sz w:val="22"/>
          <w:szCs w:val="22"/>
        </w:rPr>
        <w:t xml:space="preserve"> quatre</w:t>
      </w:r>
      <w:r w:rsidRPr="00D21BEF">
        <w:rPr>
          <w:rFonts w:ascii="Times New Roman" w:hAnsi="Times New Roman" w:cs="Times New Roman"/>
          <w:sz w:val="22"/>
          <w:szCs w:val="22"/>
        </w:rPr>
        <w:t xml:space="preserve"> ne disposent pas de forages, </w:t>
      </w:r>
      <w:r w:rsidR="00282923">
        <w:rPr>
          <w:rFonts w:ascii="Times New Roman" w:hAnsi="Times New Roman" w:cs="Times New Roman"/>
          <w:sz w:val="22"/>
          <w:szCs w:val="22"/>
        </w:rPr>
        <w:t>cinq</w:t>
      </w:r>
      <w:r w:rsidRPr="00D21BEF">
        <w:rPr>
          <w:rFonts w:ascii="Times New Roman" w:hAnsi="Times New Roman" w:cs="Times New Roman"/>
          <w:sz w:val="22"/>
          <w:szCs w:val="22"/>
        </w:rPr>
        <w:t xml:space="preserve"> sont sans maternité et </w:t>
      </w:r>
      <w:r w:rsidR="00282923">
        <w:rPr>
          <w:rFonts w:ascii="Times New Roman" w:hAnsi="Times New Roman" w:cs="Times New Roman"/>
          <w:sz w:val="22"/>
          <w:szCs w:val="22"/>
        </w:rPr>
        <w:t>trois</w:t>
      </w:r>
      <w:r w:rsidRPr="00D21BEF">
        <w:rPr>
          <w:rFonts w:ascii="Times New Roman" w:hAnsi="Times New Roman" w:cs="Times New Roman"/>
          <w:sz w:val="22"/>
          <w:szCs w:val="22"/>
        </w:rPr>
        <w:t xml:space="preserve"> sont en manque de dépôts MEG. </w:t>
      </w:r>
    </w:p>
    <w:p w:rsidR="00282923" w:rsidRDefault="00282923" w:rsidP="00953D8F">
      <w:pPr>
        <w:spacing w:line="276" w:lineRule="auto"/>
        <w:jc w:val="both"/>
        <w:rPr>
          <w:rFonts w:ascii="Times New Roman" w:hAnsi="Times New Roman" w:cs="Times New Roman"/>
          <w:sz w:val="22"/>
          <w:szCs w:val="22"/>
        </w:rPr>
      </w:pPr>
      <w:bookmarkStart w:id="97" w:name="_Toc252842110"/>
      <w:bookmarkStart w:id="98" w:name="_Toc326330392"/>
    </w:p>
    <w:p w:rsidR="00953D8F" w:rsidRDefault="00282923" w:rsidP="00282923">
      <w:pPr>
        <w:jc w:val="both"/>
        <w:rPr>
          <w:rFonts w:ascii="Times New Roman" w:hAnsi="Times New Roman" w:cs="Times New Roman"/>
          <w:b/>
          <w:sz w:val="22"/>
          <w:szCs w:val="22"/>
        </w:rPr>
      </w:pPr>
      <w:r>
        <w:rPr>
          <w:rFonts w:ascii="Times New Roman" w:hAnsi="Times New Roman" w:cs="Times New Roman"/>
          <w:b/>
          <w:sz w:val="22"/>
          <w:szCs w:val="22"/>
        </w:rPr>
        <w:t xml:space="preserve">Tableau 6 </w:t>
      </w:r>
      <w:r w:rsidR="00953D8F" w:rsidRPr="00282923">
        <w:rPr>
          <w:rFonts w:ascii="Times New Roman" w:hAnsi="Times New Roman" w:cs="Times New Roman"/>
          <w:b/>
          <w:sz w:val="22"/>
          <w:szCs w:val="22"/>
        </w:rPr>
        <w:t>: Répartition de la population</w:t>
      </w:r>
      <w:r w:rsidR="00187C90">
        <w:rPr>
          <w:rFonts w:ascii="Times New Roman" w:hAnsi="Times New Roman" w:cs="Times New Roman"/>
          <w:b/>
          <w:sz w:val="22"/>
          <w:szCs w:val="22"/>
        </w:rPr>
        <w:t xml:space="preserve"> </w:t>
      </w:r>
      <w:r w:rsidR="00953D8F" w:rsidRPr="00282923">
        <w:rPr>
          <w:rFonts w:ascii="Times New Roman" w:hAnsi="Times New Roman" w:cs="Times New Roman"/>
          <w:b/>
          <w:sz w:val="22"/>
          <w:szCs w:val="22"/>
        </w:rPr>
        <w:t>par F</w:t>
      </w:r>
      <w:r w:rsidR="00187C90">
        <w:rPr>
          <w:rFonts w:ascii="Times New Roman" w:hAnsi="Times New Roman" w:cs="Times New Roman"/>
          <w:b/>
          <w:sz w:val="22"/>
          <w:szCs w:val="22"/>
        </w:rPr>
        <w:t>O</w:t>
      </w:r>
      <w:r w:rsidR="00953D8F" w:rsidRPr="00282923">
        <w:rPr>
          <w:rFonts w:ascii="Times New Roman" w:hAnsi="Times New Roman" w:cs="Times New Roman"/>
          <w:b/>
          <w:sz w:val="22"/>
          <w:szCs w:val="22"/>
        </w:rPr>
        <w:t>S</w:t>
      </w:r>
      <w:r w:rsidR="00187C90">
        <w:rPr>
          <w:rFonts w:ascii="Times New Roman" w:hAnsi="Times New Roman" w:cs="Times New Roman"/>
          <w:b/>
          <w:sz w:val="22"/>
          <w:szCs w:val="22"/>
        </w:rPr>
        <w:t>A</w:t>
      </w:r>
      <w:r w:rsidR="00953D8F" w:rsidRPr="00282923">
        <w:rPr>
          <w:rFonts w:ascii="Times New Roman" w:hAnsi="Times New Roman" w:cs="Times New Roman"/>
          <w:b/>
          <w:sz w:val="22"/>
          <w:szCs w:val="22"/>
        </w:rPr>
        <w:t xml:space="preserve"> et par commune selon l’ac</w:t>
      </w:r>
      <w:r w:rsidR="00187C90">
        <w:rPr>
          <w:rFonts w:ascii="Times New Roman" w:hAnsi="Times New Roman" w:cs="Times New Roman"/>
          <w:b/>
          <w:sz w:val="22"/>
          <w:szCs w:val="22"/>
        </w:rPr>
        <w:t>cessibilité géographique en 2021</w:t>
      </w:r>
      <w:r w:rsidR="00953D8F" w:rsidRPr="00282923">
        <w:rPr>
          <w:rFonts w:ascii="Times New Roman" w:hAnsi="Times New Roman" w:cs="Times New Roman"/>
          <w:b/>
          <w:sz w:val="22"/>
          <w:szCs w:val="22"/>
        </w:rPr>
        <w:t>.</w:t>
      </w:r>
      <w:bookmarkEnd w:id="97"/>
      <w:bookmarkEnd w:id="98"/>
    </w:p>
    <w:p w:rsidR="00187C90" w:rsidRPr="00282923" w:rsidRDefault="00187C90" w:rsidP="00187C90">
      <w:pPr>
        <w:jc w:val="both"/>
        <w:rPr>
          <w:rFonts w:ascii="Times New Roman" w:hAnsi="Times New Roman" w:cs="Times New Roman"/>
          <w:b/>
          <w:sz w:val="22"/>
          <w:szCs w:val="22"/>
        </w:rPr>
      </w:pPr>
    </w:p>
    <w:tbl>
      <w:tblPr>
        <w:tblW w:w="5158" w:type="pct"/>
        <w:tblInd w:w="-294" w:type="dxa"/>
        <w:tblLayout w:type="fixed"/>
        <w:tblCellMar>
          <w:left w:w="70" w:type="dxa"/>
          <w:right w:w="70" w:type="dxa"/>
        </w:tblCellMar>
        <w:tblLook w:val="04A0" w:firstRow="1" w:lastRow="0" w:firstColumn="1" w:lastColumn="0" w:noHBand="0" w:noVBand="1"/>
      </w:tblPr>
      <w:tblGrid>
        <w:gridCol w:w="1151"/>
        <w:gridCol w:w="1326"/>
        <w:gridCol w:w="793"/>
        <w:gridCol w:w="1259"/>
        <w:gridCol w:w="866"/>
        <w:gridCol w:w="783"/>
        <w:gridCol w:w="930"/>
        <w:gridCol w:w="791"/>
        <w:gridCol w:w="926"/>
        <w:gridCol w:w="799"/>
      </w:tblGrid>
      <w:tr w:rsidR="00953D8F" w:rsidRPr="00D21BEF" w:rsidTr="002A680C">
        <w:trPr>
          <w:trHeight w:val="57"/>
        </w:trPr>
        <w:tc>
          <w:tcPr>
            <w:tcW w:w="59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53D8F" w:rsidRPr="00282923" w:rsidRDefault="00953D8F" w:rsidP="00282923">
            <w:pPr>
              <w:jc w:val="both"/>
              <w:rPr>
                <w:rFonts w:ascii="Times New Roman" w:hAnsi="Times New Roman" w:cs="Times New Roman"/>
                <w:b/>
                <w:sz w:val="20"/>
                <w:szCs w:val="20"/>
              </w:rPr>
            </w:pPr>
            <w:r w:rsidRPr="00282923">
              <w:rPr>
                <w:rFonts w:ascii="Times New Roman" w:hAnsi="Times New Roman" w:cs="Times New Roman"/>
                <w:b/>
                <w:sz w:val="20"/>
                <w:szCs w:val="20"/>
              </w:rPr>
              <w:t>Communes</w:t>
            </w:r>
          </w:p>
        </w:tc>
        <w:tc>
          <w:tcPr>
            <w:tcW w:w="6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3D8F" w:rsidRPr="00282923" w:rsidRDefault="00282923" w:rsidP="00282923">
            <w:pPr>
              <w:jc w:val="both"/>
              <w:rPr>
                <w:rFonts w:ascii="Times New Roman" w:hAnsi="Times New Roman" w:cs="Times New Roman"/>
                <w:b/>
                <w:sz w:val="20"/>
                <w:szCs w:val="20"/>
              </w:rPr>
            </w:pPr>
            <w:r>
              <w:rPr>
                <w:rFonts w:ascii="Times New Roman" w:hAnsi="Times New Roman" w:cs="Times New Roman"/>
                <w:b/>
                <w:sz w:val="20"/>
                <w:szCs w:val="20"/>
              </w:rPr>
              <w:t>FOSA</w:t>
            </w:r>
          </w:p>
        </w:tc>
        <w:tc>
          <w:tcPr>
            <w:tcW w:w="4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3D8F" w:rsidRPr="00282923" w:rsidRDefault="00953D8F" w:rsidP="00282923">
            <w:pPr>
              <w:jc w:val="both"/>
              <w:rPr>
                <w:rFonts w:ascii="Times New Roman" w:hAnsi="Times New Roman" w:cs="Times New Roman"/>
                <w:b/>
                <w:sz w:val="20"/>
                <w:szCs w:val="20"/>
              </w:rPr>
            </w:pPr>
            <w:r w:rsidRPr="00282923">
              <w:rPr>
                <w:rFonts w:ascii="Times New Roman" w:hAnsi="Times New Roman" w:cs="Times New Roman"/>
                <w:b/>
                <w:sz w:val="20"/>
                <w:szCs w:val="20"/>
              </w:rPr>
              <w:t>Nbre villages</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3D8F" w:rsidRPr="00282923" w:rsidRDefault="00953D8F" w:rsidP="00282923">
            <w:pPr>
              <w:jc w:val="both"/>
              <w:rPr>
                <w:rFonts w:ascii="Times New Roman" w:hAnsi="Times New Roman" w:cs="Times New Roman"/>
                <w:b/>
                <w:sz w:val="20"/>
                <w:szCs w:val="20"/>
              </w:rPr>
            </w:pPr>
            <w:r w:rsidRPr="00282923">
              <w:rPr>
                <w:rFonts w:ascii="Times New Roman" w:hAnsi="Times New Roman" w:cs="Times New Roman"/>
                <w:b/>
                <w:sz w:val="20"/>
                <w:szCs w:val="20"/>
              </w:rPr>
              <w:t>Population totale</w:t>
            </w:r>
          </w:p>
        </w:tc>
        <w:tc>
          <w:tcPr>
            <w:tcW w:w="85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53D8F" w:rsidRPr="00282923" w:rsidRDefault="00953D8F" w:rsidP="00187C90">
            <w:pPr>
              <w:jc w:val="center"/>
              <w:rPr>
                <w:rFonts w:ascii="Times New Roman" w:hAnsi="Times New Roman" w:cs="Times New Roman"/>
                <w:b/>
                <w:sz w:val="20"/>
                <w:szCs w:val="20"/>
              </w:rPr>
            </w:pPr>
            <w:r w:rsidRPr="00282923">
              <w:rPr>
                <w:rFonts w:ascii="Times New Roman" w:hAnsi="Times New Roman" w:cs="Times New Roman"/>
                <w:b/>
                <w:sz w:val="20"/>
                <w:szCs w:val="20"/>
              </w:rPr>
              <w:t>Population à moins de-5km</w:t>
            </w:r>
          </w:p>
        </w:tc>
        <w:tc>
          <w:tcPr>
            <w:tcW w:w="89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53D8F" w:rsidRPr="00282923" w:rsidRDefault="00953D8F" w:rsidP="00187C90">
            <w:pPr>
              <w:jc w:val="center"/>
              <w:rPr>
                <w:rFonts w:ascii="Times New Roman" w:hAnsi="Times New Roman" w:cs="Times New Roman"/>
                <w:b/>
                <w:sz w:val="20"/>
                <w:szCs w:val="20"/>
              </w:rPr>
            </w:pPr>
            <w:r w:rsidRPr="00282923">
              <w:rPr>
                <w:rFonts w:ascii="Times New Roman" w:hAnsi="Times New Roman" w:cs="Times New Roman"/>
                <w:b/>
                <w:sz w:val="20"/>
                <w:szCs w:val="20"/>
              </w:rPr>
              <w:t>Population entre 5-10km</w:t>
            </w:r>
          </w:p>
        </w:tc>
        <w:tc>
          <w:tcPr>
            <w:tcW w:w="896" w:type="pct"/>
            <w:gridSpan w:val="2"/>
            <w:tcBorders>
              <w:top w:val="single" w:sz="8" w:space="0" w:color="auto"/>
              <w:left w:val="nil"/>
              <w:bottom w:val="single" w:sz="8" w:space="0" w:color="auto"/>
              <w:right w:val="single" w:sz="8" w:space="0" w:color="000000"/>
            </w:tcBorders>
            <w:shd w:val="clear" w:color="auto" w:fill="auto"/>
            <w:vAlign w:val="center"/>
            <w:hideMark/>
          </w:tcPr>
          <w:p w:rsidR="00953D8F" w:rsidRPr="00282923" w:rsidRDefault="00953D8F" w:rsidP="00187C90">
            <w:pPr>
              <w:jc w:val="center"/>
              <w:rPr>
                <w:rFonts w:ascii="Times New Roman" w:hAnsi="Times New Roman" w:cs="Times New Roman"/>
                <w:b/>
                <w:sz w:val="20"/>
                <w:szCs w:val="20"/>
              </w:rPr>
            </w:pPr>
            <w:r w:rsidRPr="00282923">
              <w:rPr>
                <w:rFonts w:ascii="Times New Roman" w:hAnsi="Times New Roman" w:cs="Times New Roman"/>
                <w:b/>
                <w:sz w:val="20"/>
                <w:szCs w:val="20"/>
              </w:rPr>
              <w:t>Population à plus de 10km</w:t>
            </w:r>
          </w:p>
        </w:tc>
      </w:tr>
      <w:tr w:rsidR="00953D8F" w:rsidRPr="00D21BEF" w:rsidTr="002A680C">
        <w:trPr>
          <w:trHeight w:val="57"/>
        </w:trPr>
        <w:tc>
          <w:tcPr>
            <w:tcW w:w="598" w:type="pct"/>
            <w:vMerge/>
            <w:tcBorders>
              <w:top w:val="single" w:sz="8" w:space="0" w:color="auto"/>
              <w:left w:val="single" w:sz="8" w:space="0" w:color="auto"/>
              <w:bottom w:val="single" w:sz="8" w:space="0" w:color="000000"/>
              <w:right w:val="single" w:sz="8" w:space="0" w:color="auto"/>
            </w:tcBorders>
            <w:vAlign w:val="center"/>
            <w:hideMark/>
          </w:tcPr>
          <w:p w:rsidR="00953D8F" w:rsidRPr="00282923" w:rsidRDefault="00953D8F" w:rsidP="00282923">
            <w:pPr>
              <w:jc w:val="both"/>
              <w:rPr>
                <w:rFonts w:ascii="Times New Roman" w:hAnsi="Times New Roman" w:cs="Times New Roman"/>
                <w:b/>
                <w:sz w:val="20"/>
                <w:szCs w:val="20"/>
              </w:rPr>
            </w:pPr>
          </w:p>
        </w:tc>
        <w:tc>
          <w:tcPr>
            <w:tcW w:w="689" w:type="pct"/>
            <w:vMerge/>
            <w:tcBorders>
              <w:top w:val="single" w:sz="8" w:space="0" w:color="auto"/>
              <w:left w:val="single" w:sz="8" w:space="0" w:color="auto"/>
              <w:bottom w:val="single" w:sz="8" w:space="0" w:color="000000"/>
              <w:right w:val="single" w:sz="8" w:space="0" w:color="auto"/>
            </w:tcBorders>
            <w:vAlign w:val="center"/>
            <w:hideMark/>
          </w:tcPr>
          <w:p w:rsidR="00953D8F" w:rsidRPr="00282923" w:rsidRDefault="00953D8F" w:rsidP="00282923">
            <w:pPr>
              <w:jc w:val="both"/>
              <w:rPr>
                <w:rFonts w:ascii="Times New Roman" w:hAnsi="Times New Roman" w:cs="Times New Roman"/>
                <w:b/>
                <w:sz w:val="20"/>
                <w:szCs w:val="2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rsidR="00953D8F" w:rsidRPr="00282923" w:rsidRDefault="00953D8F" w:rsidP="00282923">
            <w:pPr>
              <w:jc w:val="both"/>
              <w:rPr>
                <w:rFonts w:ascii="Times New Roman" w:hAnsi="Times New Roman" w:cs="Times New Roman"/>
                <w:b/>
                <w:sz w:val="20"/>
                <w:szCs w:val="20"/>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953D8F" w:rsidRPr="00282923" w:rsidRDefault="00953D8F" w:rsidP="00282923">
            <w:pPr>
              <w:jc w:val="both"/>
              <w:rPr>
                <w:rFonts w:ascii="Times New Roman" w:hAnsi="Times New Roman" w:cs="Times New Roman"/>
                <w:b/>
                <w:sz w:val="20"/>
                <w:szCs w:val="20"/>
              </w:rPr>
            </w:pP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282923" w:rsidRDefault="00953D8F" w:rsidP="00282923">
            <w:pPr>
              <w:jc w:val="center"/>
              <w:rPr>
                <w:rFonts w:ascii="Times New Roman" w:hAnsi="Times New Roman" w:cs="Times New Roman"/>
                <w:b/>
                <w:sz w:val="20"/>
                <w:szCs w:val="20"/>
              </w:rPr>
            </w:pPr>
            <w:r w:rsidRPr="00282923">
              <w:rPr>
                <w:rFonts w:ascii="Times New Roman" w:hAnsi="Times New Roman" w:cs="Times New Roman"/>
                <w:b/>
                <w:sz w:val="20"/>
                <w:szCs w:val="20"/>
              </w:rPr>
              <w:t>Effectif</w:t>
            </w:r>
          </w:p>
        </w:tc>
        <w:tc>
          <w:tcPr>
            <w:tcW w:w="407" w:type="pct"/>
            <w:tcBorders>
              <w:top w:val="nil"/>
              <w:left w:val="nil"/>
              <w:bottom w:val="single" w:sz="8" w:space="0" w:color="auto"/>
              <w:right w:val="single" w:sz="8" w:space="0" w:color="auto"/>
            </w:tcBorders>
            <w:shd w:val="clear" w:color="auto" w:fill="auto"/>
            <w:vAlign w:val="center"/>
            <w:hideMark/>
          </w:tcPr>
          <w:p w:rsidR="00953D8F" w:rsidRPr="00282923" w:rsidRDefault="00953D8F" w:rsidP="00282923">
            <w:pPr>
              <w:jc w:val="center"/>
              <w:rPr>
                <w:rFonts w:ascii="Times New Roman" w:hAnsi="Times New Roman" w:cs="Times New Roman"/>
                <w:b/>
                <w:sz w:val="20"/>
                <w:szCs w:val="20"/>
              </w:rPr>
            </w:pPr>
            <w:r w:rsidRPr="00282923">
              <w:rPr>
                <w:rFonts w:ascii="Times New Roman" w:hAnsi="Times New Roman" w:cs="Times New Roman"/>
                <w:b/>
                <w:sz w:val="20"/>
                <w:szCs w:val="20"/>
              </w:rPr>
              <w:t>%</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282923" w:rsidRDefault="00953D8F" w:rsidP="00282923">
            <w:pPr>
              <w:jc w:val="center"/>
              <w:rPr>
                <w:rFonts w:ascii="Times New Roman" w:hAnsi="Times New Roman" w:cs="Times New Roman"/>
                <w:b/>
                <w:sz w:val="20"/>
                <w:szCs w:val="20"/>
              </w:rPr>
            </w:pPr>
            <w:r w:rsidRPr="00282923">
              <w:rPr>
                <w:rFonts w:ascii="Times New Roman" w:hAnsi="Times New Roman" w:cs="Times New Roman"/>
                <w:b/>
                <w:sz w:val="20"/>
                <w:szCs w:val="20"/>
              </w:rPr>
              <w:t>Effectif</w:t>
            </w:r>
          </w:p>
        </w:tc>
        <w:tc>
          <w:tcPr>
            <w:tcW w:w="411" w:type="pct"/>
            <w:tcBorders>
              <w:top w:val="nil"/>
              <w:left w:val="nil"/>
              <w:bottom w:val="single" w:sz="8" w:space="0" w:color="auto"/>
              <w:right w:val="single" w:sz="8" w:space="0" w:color="auto"/>
            </w:tcBorders>
            <w:shd w:val="clear" w:color="auto" w:fill="auto"/>
            <w:vAlign w:val="center"/>
            <w:hideMark/>
          </w:tcPr>
          <w:p w:rsidR="00953D8F" w:rsidRPr="00282923" w:rsidRDefault="00953D8F" w:rsidP="00282923">
            <w:pPr>
              <w:jc w:val="center"/>
              <w:rPr>
                <w:rFonts w:ascii="Times New Roman" w:hAnsi="Times New Roman" w:cs="Times New Roman"/>
                <w:b/>
                <w:sz w:val="20"/>
                <w:szCs w:val="20"/>
              </w:rPr>
            </w:pPr>
            <w:r w:rsidRPr="00282923">
              <w:rPr>
                <w:rFonts w:ascii="Times New Roman" w:hAnsi="Times New Roman" w:cs="Times New Roman"/>
                <w:b/>
                <w:sz w:val="20"/>
                <w:szCs w:val="20"/>
              </w:rPr>
              <w:t>%</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282923" w:rsidRDefault="00953D8F" w:rsidP="00282923">
            <w:pPr>
              <w:jc w:val="center"/>
              <w:rPr>
                <w:rFonts w:ascii="Times New Roman" w:hAnsi="Times New Roman" w:cs="Times New Roman"/>
                <w:b/>
                <w:sz w:val="20"/>
                <w:szCs w:val="20"/>
              </w:rPr>
            </w:pPr>
            <w:r w:rsidRPr="00282923">
              <w:rPr>
                <w:rFonts w:ascii="Times New Roman" w:hAnsi="Times New Roman" w:cs="Times New Roman"/>
                <w:b/>
                <w:sz w:val="20"/>
                <w:szCs w:val="20"/>
              </w:rPr>
              <w:t>Effectif</w:t>
            </w:r>
          </w:p>
        </w:tc>
        <w:tc>
          <w:tcPr>
            <w:tcW w:w="415" w:type="pct"/>
            <w:tcBorders>
              <w:top w:val="nil"/>
              <w:left w:val="nil"/>
              <w:bottom w:val="single" w:sz="8" w:space="0" w:color="auto"/>
              <w:right w:val="single" w:sz="8" w:space="0" w:color="auto"/>
            </w:tcBorders>
            <w:shd w:val="clear" w:color="auto" w:fill="auto"/>
            <w:vAlign w:val="center"/>
            <w:hideMark/>
          </w:tcPr>
          <w:p w:rsidR="00953D8F" w:rsidRPr="00282923" w:rsidRDefault="00953D8F" w:rsidP="00282923">
            <w:pPr>
              <w:jc w:val="center"/>
              <w:rPr>
                <w:rFonts w:ascii="Times New Roman" w:hAnsi="Times New Roman" w:cs="Times New Roman"/>
                <w:b/>
                <w:sz w:val="20"/>
                <w:szCs w:val="20"/>
              </w:rPr>
            </w:pPr>
            <w:r w:rsidRPr="00282923">
              <w:rPr>
                <w:rFonts w:ascii="Times New Roman" w:hAnsi="Times New Roman" w:cs="Times New Roman"/>
                <w:b/>
                <w:sz w:val="20"/>
                <w:szCs w:val="20"/>
              </w:rPr>
              <w:t>%</w:t>
            </w:r>
          </w:p>
        </w:tc>
      </w:tr>
      <w:tr w:rsidR="00953D8F" w:rsidRPr="00D21BEF" w:rsidTr="002A680C">
        <w:trPr>
          <w:trHeight w:val="57"/>
        </w:trPr>
        <w:tc>
          <w:tcPr>
            <w:tcW w:w="59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953D8F" w:rsidRPr="00D21BEF" w:rsidRDefault="00282923" w:rsidP="00282923">
            <w:pPr>
              <w:spacing w:line="276" w:lineRule="auto"/>
              <w:jc w:val="center"/>
              <w:rPr>
                <w:rFonts w:ascii="Times New Roman" w:hAnsi="Times New Roman" w:cs="Times New Roman"/>
                <w:sz w:val="22"/>
                <w:szCs w:val="22"/>
              </w:rPr>
            </w:pPr>
            <w:r>
              <w:rPr>
                <w:rFonts w:ascii="Times New Roman" w:hAnsi="Times New Roman" w:cs="Times New Roman"/>
                <w:sz w:val="22"/>
                <w:szCs w:val="22"/>
              </w:rPr>
              <w:t>I</w:t>
            </w: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Douri</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6 859</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1 467</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21%</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734</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4 657</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68%</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Koua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10</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18 750</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11 189</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60%</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7 561</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40%</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Gandafa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6 911</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1 505</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22%</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5 406</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78%</w:t>
            </w:r>
          </w:p>
        </w:tc>
      </w:tr>
      <w:tr w:rsidR="00953D8F" w:rsidRPr="00D21BEF" w:rsidTr="002A680C">
        <w:trPr>
          <w:trHeight w:val="57"/>
        </w:trPr>
        <w:tc>
          <w:tcPr>
            <w:tcW w:w="59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953D8F" w:rsidRPr="00D21BEF" w:rsidRDefault="00282923" w:rsidP="00282923">
            <w:pPr>
              <w:spacing w:line="276" w:lineRule="auto"/>
              <w:jc w:val="center"/>
              <w:rPr>
                <w:rFonts w:ascii="Times New Roman" w:hAnsi="Times New Roman" w:cs="Times New Roman"/>
                <w:sz w:val="22"/>
                <w:szCs w:val="22"/>
              </w:rPr>
            </w:pPr>
            <w:r>
              <w:rPr>
                <w:rFonts w:ascii="Times New Roman" w:hAnsi="Times New Roman" w:cs="Times New Roman"/>
                <w:sz w:val="22"/>
                <w:szCs w:val="22"/>
              </w:rPr>
              <w:t>II</w:t>
            </w: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Din</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10 675</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6 156</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58%</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4 519</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42%</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Korezeni</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14 366</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9 669</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67%</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4 697</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33%</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Saouda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9</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14 639</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4 790</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33%</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9 849</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67%</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Tasma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22 642</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3 819</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17%</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2 664</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12%</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16 159</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71%</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w:t>
            </w:r>
            <w:r w:rsidR="00953D8F" w:rsidRPr="00D21BEF">
              <w:rPr>
                <w:rFonts w:ascii="Times New Roman" w:hAnsi="Times New Roman" w:cs="Times New Roman"/>
                <w:sz w:val="22"/>
                <w:szCs w:val="22"/>
              </w:rPr>
              <w:t>angani</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17 298</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1 059</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2 468</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14%</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13 770</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80%</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Dosse</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13 384</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2 466</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18%</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1 125</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9 793</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73%</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Urbain</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18</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34 730</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10 311</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30%</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6 396</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18%</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18 024</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52%</w:t>
            </w:r>
          </w:p>
        </w:tc>
      </w:tr>
      <w:tr w:rsidR="00953D8F" w:rsidRPr="00D21BEF" w:rsidTr="002A680C">
        <w:trPr>
          <w:trHeight w:val="57"/>
        </w:trPr>
        <w:tc>
          <w:tcPr>
            <w:tcW w:w="59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953D8F" w:rsidRPr="00D21BEF" w:rsidRDefault="00282923" w:rsidP="00282923">
            <w:pPr>
              <w:spacing w:line="276" w:lineRule="auto"/>
              <w:jc w:val="center"/>
              <w:rPr>
                <w:rFonts w:ascii="Times New Roman" w:hAnsi="Times New Roman" w:cs="Times New Roman"/>
                <w:sz w:val="22"/>
                <w:szCs w:val="22"/>
              </w:rPr>
            </w:pPr>
            <w:r>
              <w:rPr>
                <w:rFonts w:ascii="Times New Roman" w:hAnsi="Times New Roman" w:cs="Times New Roman"/>
                <w:sz w:val="22"/>
                <w:szCs w:val="22"/>
              </w:rPr>
              <w:t>III</w:t>
            </w: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Salmossi</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11 650</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3 255</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28%</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2 768</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24%</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5 627</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48%</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Larka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12 895</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7 950</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62%</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167</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4 778</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37%</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Tokaba</w:t>
            </w:r>
            <w:r w:rsidR="00282923">
              <w:rPr>
                <w:rFonts w:ascii="Times New Roman" w:hAnsi="Times New Roman" w:cs="Times New Roman"/>
                <w:sz w:val="22"/>
                <w:szCs w:val="22"/>
              </w:rPr>
              <w:t>n</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11 911</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2 376</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9 535</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80%</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w:t>
            </w:r>
            <w:r w:rsidR="00953D8F" w:rsidRPr="00D21BEF">
              <w:rPr>
                <w:rFonts w:ascii="Times New Roman" w:hAnsi="Times New Roman" w:cs="Times New Roman"/>
                <w:sz w:val="22"/>
                <w:szCs w:val="22"/>
              </w:rPr>
              <w:t>inagadel</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9</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11 126</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2 152</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19%</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1 638</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15%</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7 336</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66%</w:t>
            </w:r>
          </w:p>
        </w:tc>
      </w:tr>
      <w:tr w:rsidR="00953D8F" w:rsidRPr="00D21BEF" w:rsidTr="002A680C">
        <w:trPr>
          <w:trHeight w:val="57"/>
        </w:trPr>
        <w:tc>
          <w:tcPr>
            <w:tcW w:w="59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953D8F" w:rsidRPr="00D21BEF" w:rsidRDefault="00282923" w:rsidP="00282923">
            <w:pPr>
              <w:spacing w:line="276" w:lineRule="auto"/>
              <w:jc w:val="center"/>
              <w:rPr>
                <w:rFonts w:ascii="Times New Roman" w:hAnsi="Times New Roman" w:cs="Times New Roman"/>
                <w:sz w:val="22"/>
                <w:szCs w:val="22"/>
              </w:rPr>
            </w:pPr>
            <w:r>
              <w:rPr>
                <w:rFonts w:ascii="Times New Roman" w:hAnsi="Times New Roman" w:cs="Times New Roman"/>
                <w:sz w:val="22"/>
                <w:szCs w:val="22"/>
              </w:rPr>
              <w:t>IV</w:t>
            </w: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Fadar-kaba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8 136</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1 665</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6 470</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80%</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2829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Korobe</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5</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5 977</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1 162</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19%</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4 816</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81%</w:t>
            </w:r>
          </w:p>
        </w:tc>
      </w:tr>
      <w:tr w:rsidR="00953D8F" w:rsidRPr="00D21BEF" w:rsidTr="002A680C">
        <w:trPr>
          <w:trHeight w:val="57"/>
        </w:trPr>
        <w:tc>
          <w:tcPr>
            <w:tcW w:w="598" w:type="pct"/>
            <w:vMerge/>
            <w:tcBorders>
              <w:top w:val="nil"/>
              <w:left w:val="single" w:sz="8" w:space="0" w:color="auto"/>
              <w:bottom w:val="single" w:sz="8" w:space="0" w:color="000000"/>
              <w:right w:val="single" w:sz="8" w:space="0" w:color="auto"/>
            </w:tcBorders>
            <w:vAlign w:val="center"/>
            <w:hideMark/>
          </w:tcPr>
          <w:p w:rsidR="00953D8F" w:rsidRPr="00D21BEF" w:rsidRDefault="00953D8F" w:rsidP="00282923">
            <w:pPr>
              <w:spacing w:line="276" w:lineRule="auto"/>
              <w:jc w:val="center"/>
              <w:rPr>
                <w:rFonts w:ascii="Times New Roman" w:hAnsi="Times New Roman" w:cs="Times New Roman"/>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187C90"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Sanga</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10 634</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3 071</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29%</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7 563</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71%</w:t>
            </w:r>
          </w:p>
        </w:tc>
      </w:tr>
      <w:tr w:rsidR="00953D8F" w:rsidRPr="00D21BEF" w:rsidTr="002A680C">
        <w:trPr>
          <w:trHeight w:val="57"/>
        </w:trPr>
        <w:tc>
          <w:tcPr>
            <w:tcW w:w="598" w:type="pct"/>
            <w:tcBorders>
              <w:top w:val="nil"/>
              <w:left w:val="single" w:sz="8" w:space="0" w:color="auto"/>
              <w:bottom w:val="single" w:sz="8" w:space="0" w:color="auto"/>
              <w:right w:val="single" w:sz="8" w:space="0" w:color="auto"/>
            </w:tcBorders>
            <w:shd w:val="clear" w:color="auto" w:fill="auto"/>
            <w:noWrap/>
            <w:vAlign w:val="center"/>
            <w:hideMark/>
          </w:tcPr>
          <w:p w:rsidR="00953D8F" w:rsidRPr="00D21BEF" w:rsidRDefault="00282923" w:rsidP="00282923">
            <w:pPr>
              <w:spacing w:line="276" w:lineRule="auto"/>
              <w:jc w:val="center"/>
              <w:rPr>
                <w:rFonts w:ascii="Times New Roman" w:hAnsi="Times New Roman" w:cs="Times New Roman"/>
                <w:sz w:val="22"/>
                <w:szCs w:val="22"/>
              </w:rPr>
            </w:pPr>
            <w:r>
              <w:rPr>
                <w:rFonts w:ascii="Times New Roman" w:hAnsi="Times New Roman" w:cs="Times New Roman"/>
                <w:sz w:val="22"/>
                <w:szCs w:val="22"/>
              </w:rPr>
              <w:t>V</w:t>
            </w:r>
          </w:p>
        </w:tc>
        <w:tc>
          <w:tcPr>
            <w:tcW w:w="689" w:type="pct"/>
            <w:tcBorders>
              <w:top w:val="nil"/>
              <w:left w:val="nil"/>
              <w:bottom w:val="single" w:sz="8" w:space="0" w:color="auto"/>
              <w:right w:val="single" w:sz="8" w:space="0" w:color="auto"/>
            </w:tcBorders>
            <w:shd w:val="clear" w:color="auto" w:fill="auto"/>
            <w:vAlign w:val="center"/>
            <w:hideMark/>
          </w:tcPr>
          <w:p w:rsidR="00953D8F" w:rsidRPr="00D21BEF" w:rsidRDefault="00187C90"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Daman</w:t>
            </w:r>
          </w:p>
        </w:tc>
        <w:tc>
          <w:tcPr>
            <w:tcW w:w="412"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21</w:t>
            </w:r>
          </w:p>
        </w:tc>
        <w:tc>
          <w:tcPr>
            <w:tcW w:w="654"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187C90">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20 742</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2 246</w:t>
            </w:r>
          </w:p>
        </w:tc>
        <w:tc>
          <w:tcPr>
            <w:tcW w:w="407"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11%</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2 968</w:t>
            </w:r>
          </w:p>
        </w:tc>
        <w:tc>
          <w:tcPr>
            <w:tcW w:w="411"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14%</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15 528</w:t>
            </w:r>
          </w:p>
        </w:tc>
        <w:tc>
          <w:tcPr>
            <w:tcW w:w="415" w:type="pct"/>
            <w:tcBorders>
              <w:top w:val="nil"/>
              <w:left w:val="nil"/>
              <w:bottom w:val="single" w:sz="8" w:space="0" w:color="auto"/>
              <w:right w:val="single" w:sz="8" w:space="0" w:color="auto"/>
            </w:tcBorders>
            <w:shd w:val="clear" w:color="auto" w:fill="auto"/>
            <w:vAlign w:val="center"/>
            <w:hideMark/>
          </w:tcPr>
          <w:p w:rsidR="00953D8F" w:rsidRPr="00D21BEF" w:rsidRDefault="00953D8F" w:rsidP="00282923">
            <w:pPr>
              <w:spacing w:line="276" w:lineRule="auto"/>
              <w:jc w:val="center"/>
              <w:rPr>
                <w:rFonts w:ascii="Times New Roman" w:hAnsi="Times New Roman" w:cs="Times New Roman"/>
                <w:sz w:val="22"/>
                <w:szCs w:val="22"/>
              </w:rPr>
            </w:pPr>
            <w:r w:rsidRPr="00D21BEF">
              <w:rPr>
                <w:rFonts w:ascii="Times New Roman" w:hAnsi="Times New Roman" w:cs="Times New Roman"/>
                <w:sz w:val="22"/>
                <w:szCs w:val="22"/>
              </w:rPr>
              <w:t>75%</w:t>
            </w:r>
          </w:p>
        </w:tc>
      </w:tr>
      <w:tr w:rsidR="00953D8F" w:rsidRPr="00D21BEF" w:rsidTr="002A680C">
        <w:trPr>
          <w:trHeight w:val="57"/>
        </w:trPr>
        <w:tc>
          <w:tcPr>
            <w:tcW w:w="128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D8F" w:rsidRPr="00187C90" w:rsidRDefault="00953D8F" w:rsidP="00953D8F">
            <w:pPr>
              <w:spacing w:line="276" w:lineRule="auto"/>
              <w:jc w:val="both"/>
              <w:rPr>
                <w:rFonts w:ascii="Times New Roman" w:hAnsi="Times New Roman" w:cs="Times New Roman"/>
                <w:b/>
                <w:sz w:val="22"/>
                <w:szCs w:val="22"/>
              </w:rPr>
            </w:pPr>
            <w:r w:rsidRPr="00187C90">
              <w:rPr>
                <w:rFonts w:ascii="Times New Roman" w:hAnsi="Times New Roman" w:cs="Times New Roman"/>
                <w:b/>
                <w:sz w:val="22"/>
                <w:szCs w:val="22"/>
              </w:rPr>
              <w:t>Total DS</w:t>
            </w:r>
          </w:p>
        </w:tc>
        <w:tc>
          <w:tcPr>
            <w:tcW w:w="412" w:type="pct"/>
            <w:tcBorders>
              <w:top w:val="nil"/>
              <w:left w:val="nil"/>
              <w:bottom w:val="single" w:sz="8" w:space="0" w:color="auto"/>
              <w:right w:val="single" w:sz="8" w:space="0" w:color="auto"/>
            </w:tcBorders>
            <w:shd w:val="clear" w:color="auto" w:fill="auto"/>
            <w:vAlign w:val="center"/>
            <w:hideMark/>
          </w:tcPr>
          <w:p w:rsidR="00953D8F" w:rsidRPr="00187C90" w:rsidRDefault="00953D8F" w:rsidP="00187C90">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164</w:t>
            </w:r>
          </w:p>
        </w:tc>
        <w:tc>
          <w:tcPr>
            <w:tcW w:w="654" w:type="pct"/>
            <w:tcBorders>
              <w:top w:val="nil"/>
              <w:left w:val="nil"/>
              <w:bottom w:val="single" w:sz="8" w:space="0" w:color="auto"/>
              <w:right w:val="single" w:sz="8" w:space="0" w:color="auto"/>
            </w:tcBorders>
            <w:shd w:val="clear" w:color="auto" w:fill="auto"/>
            <w:vAlign w:val="center"/>
            <w:hideMark/>
          </w:tcPr>
          <w:p w:rsidR="00953D8F" w:rsidRPr="00187C90" w:rsidRDefault="00953D8F" w:rsidP="00187C90">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253 325</w:t>
            </w:r>
          </w:p>
        </w:tc>
        <w:tc>
          <w:tcPr>
            <w:tcW w:w="450" w:type="pct"/>
            <w:tcBorders>
              <w:top w:val="nil"/>
              <w:left w:val="nil"/>
              <w:bottom w:val="single" w:sz="8" w:space="0" w:color="auto"/>
              <w:right w:val="single" w:sz="8" w:space="0" w:color="auto"/>
            </w:tcBorders>
            <w:shd w:val="clear" w:color="auto" w:fill="auto"/>
            <w:noWrap/>
            <w:vAlign w:val="center"/>
            <w:hideMark/>
          </w:tcPr>
          <w:p w:rsidR="00953D8F" w:rsidRPr="00187C90" w:rsidRDefault="00953D8F" w:rsidP="00282923">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76 309</w:t>
            </w:r>
          </w:p>
        </w:tc>
        <w:tc>
          <w:tcPr>
            <w:tcW w:w="407" w:type="pct"/>
            <w:tcBorders>
              <w:top w:val="nil"/>
              <w:left w:val="nil"/>
              <w:bottom w:val="single" w:sz="8" w:space="0" w:color="auto"/>
              <w:right w:val="single" w:sz="8" w:space="0" w:color="auto"/>
            </w:tcBorders>
            <w:shd w:val="clear" w:color="auto" w:fill="auto"/>
            <w:vAlign w:val="center"/>
            <w:hideMark/>
          </w:tcPr>
          <w:p w:rsidR="00953D8F" w:rsidRPr="00187C90" w:rsidRDefault="00953D8F" w:rsidP="00282923">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30%</w:t>
            </w:r>
          </w:p>
        </w:tc>
        <w:tc>
          <w:tcPr>
            <w:tcW w:w="483" w:type="pct"/>
            <w:tcBorders>
              <w:top w:val="nil"/>
              <w:left w:val="nil"/>
              <w:bottom w:val="single" w:sz="8" w:space="0" w:color="auto"/>
              <w:right w:val="single" w:sz="8" w:space="0" w:color="auto"/>
            </w:tcBorders>
            <w:shd w:val="clear" w:color="auto" w:fill="auto"/>
            <w:noWrap/>
            <w:vAlign w:val="center"/>
            <w:hideMark/>
          </w:tcPr>
          <w:p w:rsidR="00953D8F" w:rsidRPr="00187C90" w:rsidRDefault="00953D8F" w:rsidP="00282923">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25 624</w:t>
            </w:r>
          </w:p>
        </w:tc>
        <w:tc>
          <w:tcPr>
            <w:tcW w:w="411" w:type="pct"/>
            <w:tcBorders>
              <w:top w:val="nil"/>
              <w:left w:val="nil"/>
              <w:bottom w:val="single" w:sz="8" w:space="0" w:color="auto"/>
              <w:right w:val="single" w:sz="8" w:space="0" w:color="auto"/>
            </w:tcBorders>
            <w:shd w:val="clear" w:color="auto" w:fill="auto"/>
            <w:vAlign w:val="center"/>
            <w:hideMark/>
          </w:tcPr>
          <w:p w:rsidR="00953D8F" w:rsidRPr="00187C90" w:rsidRDefault="00953D8F" w:rsidP="00282923">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10%</w:t>
            </w:r>
          </w:p>
        </w:tc>
        <w:tc>
          <w:tcPr>
            <w:tcW w:w="481" w:type="pct"/>
            <w:tcBorders>
              <w:top w:val="nil"/>
              <w:left w:val="nil"/>
              <w:bottom w:val="single" w:sz="8" w:space="0" w:color="auto"/>
              <w:right w:val="single" w:sz="8" w:space="0" w:color="auto"/>
            </w:tcBorders>
            <w:shd w:val="clear" w:color="auto" w:fill="auto"/>
            <w:noWrap/>
            <w:vAlign w:val="center"/>
            <w:hideMark/>
          </w:tcPr>
          <w:p w:rsidR="00953D8F" w:rsidRPr="00187C90" w:rsidRDefault="00953D8F" w:rsidP="00282923">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151 393</w:t>
            </w:r>
          </w:p>
        </w:tc>
        <w:tc>
          <w:tcPr>
            <w:tcW w:w="415" w:type="pct"/>
            <w:tcBorders>
              <w:top w:val="nil"/>
              <w:left w:val="nil"/>
              <w:bottom w:val="single" w:sz="8" w:space="0" w:color="auto"/>
              <w:right w:val="single" w:sz="8" w:space="0" w:color="auto"/>
            </w:tcBorders>
            <w:shd w:val="clear" w:color="auto" w:fill="auto"/>
            <w:vAlign w:val="center"/>
            <w:hideMark/>
          </w:tcPr>
          <w:p w:rsidR="00953D8F" w:rsidRPr="00187C90" w:rsidRDefault="00953D8F" w:rsidP="00282923">
            <w:pPr>
              <w:spacing w:line="276" w:lineRule="auto"/>
              <w:jc w:val="center"/>
              <w:rPr>
                <w:rFonts w:ascii="Times New Roman" w:hAnsi="Times New Roman" w:cs="Times New Roman"/>
                <w:b/>
                <w:sz w:val="22"/>
                <w:szCs w:val="22"/>
              </w:rPr>
            </w:pPr>
            <w:r w:rsidRPr="00187C90">
              <w:rPr>
                <w:rFonts w:ascii="Times New Roman" w:hAnsi="Times New Roman" w:cs="Times New Roman"/>
                <w:b/>
                <w:sz w:val="22"/>
                <w:szCs w:val="22"/>
              </w:rPr>
              <w:t>60%</w:t>
            </w:r>
          </w:p>
        </w:tc>
      </w:tr>
    </w:tbl>
    <w:p w:rsidR="00187C90" w:rsidRDefault="00187C90" w:rsidP="00953D8F">
      <w:pPr>
        <w:spacing w:line="276" w:lineRule="auto"/>
        <w:jc w:val="both"/>
        <w:rPr>
          <w:rFonts w:ascii="Times New Roman" w:hAnsi="Times New Roman" w:cs="Times New Roman"/>
          <w:sz w:val="22"/>
          <w:szCs w:val="22"/>
        </w:rPr>
      </w:pPr>
    </w:p>
    <w:p w:rsidR="005B2343"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Dans le district, environ 60% de la population est à plus de 10 km d’une formation sanitaire. Cette accessibilité varie d’une aire sanitaire à une autre.</w:t>
      </w:r>
      <w:r w:rsidR="00187C90">
        <w:rPr>
          <w:rFonts w:ascii="Times New Roman" w:hAnsi="Times New Roman" w:cs="Times New Roman"/>
          <w:sz w:val="22"/>
          <w:szCs w:val="22"/>
        </w:rPr>
        <w:t xml:space="preserve"> </w:t>
      </w:r>
      <w:r w:rsidRPr="00D21BEF">
        <w:rPr>
          <w:rFonts w:ascii="Times New Roman" w:hAnsi="Times New Roman" w:cs="Times New Roman"/>
          <w:sz w:val="22"/>
          <w:szCs w:val="22"/>
        </w:rPr>
        <w:t xml:space="preserve">Le rayon moyen d’action est très élevé (12,07 km) contre un rayon au niveau national de 7 km. </w:t>
      </w:r>
    </w:p>
    <w:p w:rsidR="005B2343" w:rsidRDefault="005B2343" w:rsidP="00A757CC">
      <w:pPr>
        <w:spacing w:line="276" w:lineRule="auto"/>
        <w:jc w:val="both"/>
        <w:rPr>
          <w:rFonts w:ascii="Times New Roman" w:hAnsi="Times New Roman" w:cs="Times New Roman"/>
          <w:sz w:val="22"/>
          <w:szCs w:val="22"/>
        </w:rPr>
      </w:pPr>
    </w:p>
    <w:p w:rsidR="00724D23" w:rsidRPr="00A757CC" w:rsidRDefault="00724D23" w:rsidP="00A757CC">
      <w:pPr>
        <w:spacing w:line="276" w:lineRule="auto"/>
        <w:jc w:val="both"/>
        <w:rPr>
          <w:rFonts w:ascii="Times New Roman" w:hAnsi="Times New Roman" w:cs="Times New Roman"/>
          <w:i/>
          <w:sz w:val="22"/>
          <w:szCs w:val="22"/>
        </w:rPr>
      </w:pPr>
      <w:r>
        <w:rPr>
          <w:rFonts w:ascii="Times New Roman" w:hAnsi="Times New Roman" w:cs="Times New Roman"/>
          <w:i/>
          <w:sz w:val="22"/>
          <w:szCs w:val="22"/>
        </w:rPr>
        <w:t>3.2. Chaîne de froid du district</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La logistique chaine de froid constitue un maillon essentiel de la vaccination. Sa situation se présente comme suit :</w:t>
      </w:r>
    </w:p>
    <w:p w:rsidR="00724D23" w:rsidRDefault="00724D23" w:rsidP="00724D23">
      <w:pPr>
        <w:jc w:val="both"/>
        <w:rPr>
          <w:rFonts w:ascii="Times New Roman" w:hAnsi="Times New Roman" w:cs="Times New Roman"/>
          <w:sz w:val="22"/>
          <w:szCs w:val="22"/>
        </w:rPr>
      </w:pPr>
      <w:bookmarkStart w:id="99" w:name="_Toc252842111"/>
      <w:bookmarkStart w:id="100" w:name="_Toc326330393"/>
    </w:p>
    <w:p w:rsidR="00724D23" w:rsidRPr="007B68A3" w:rsidRDefault="00953D8F" w:rsidP="00953D8F">
      <w:pPr>
        <w:spacing w:line="276" w:lineRule="auto"/>
        <w:jc w:val="both"/>
        <w:rPr>
          <w:rFonts w:ascii="Times New Roman" w:hAnsi="Times New Roman" w:cs="Times New Roman"/>
          <w:b/>
          <w:sz w:val="22"/>
          <w:szCs w:val="22"/>
        </w:rPr>
      </w:pPr>
      <w:r w:rsidRPr="00D21BEF">
        <w:rPr>
          <w:rFonts w:ascii="Times New Roman" w:hAnsi="Times New Roman" w:cs="Times New Roman"/>
          <w:sz w:val="22"/>
          <w:szCs w:val="22"/>
        </w:rPr>
        <w:t>T</w:t>
      </w:r>
      <w:r w:rsidRPr="00724D23">
        <w:rPr>
          <w:rFonts w:ascii="Times New Roman" w:hAnsi="Times New Roman" w:cs="Times New Roman"/>
          <w:b/>
          <w:sz w:val="22"/>
          <w:szCs w:val="22"/>
        </w:rPr>
        <w:t>ableau</w:t>
      </w:r>
      <w:r w:rsidR="00724D23">
        <w:rPr>
          <w:rFonts w:ascii="Times New Roman" w:hAnsi="Times New Roman" w:cs="Times New Roman"/>
          <w:b/>
          <w:sz w:val="22"/>
          <w:szCs w:val="22"/>
        </w:rPr>
        <w:t xml:space="preserve"> 7 </w:t>
      </w:r>
      <w:r w:rsidRPr="00724D23">
        <w:rPr>
          <w:rFonts w:ascii="Times New Roman" w:hAnsi="Times New Roman" w:cs="Times New Roman"/>
          <w:b/>
          <w:sz w:val="22"/>
          <w:szCs w:val="22"/>
        </w:rPr>
        <w:t>: Situation du matériel de froid</w:t>
      </w:r>
      <w:r w:rsidR="00724D23">
        <w:rPr>
          <w:rFonts w:ascii="Times New Roman" w:hAnsi="Times New Roman" w:cs="Times New Roman"/>
          <w:b/>
          <w:sz w:val="22"/>
          <w:szCs w:val="22"/>
        </w:rPr>
        <w:t xml:space="preserve"> </w:t>
      </w:r>
      <w:r w:rsidRPr="00724D23">
        <w:rPr>
          <w:rFonts w:ascii="Times New Roman" w:hAnsi="Times New Roman" w:cs="Times New Roman"/>
          <w:b/>
          <w:sz w:val="22"/>
          <w:szCs w:val="22"/>
        </w:rPr>
        <w:t xml:space="preserve">du DS de </w:t>
      </w:r>
      <w:r w:rsidR="003D46BA" w:rsidRPr="00724D23">
        <w:rPr>
          <w:rFonts w:ascii="Times New Roman" w:hAnsi="Times New Roman" w:cs="Times New Roman"/>
          <w:b/>
          <w:sz w:val="22"/>
          <w:szCs w:val="22"/>
        </w:rPr>
        <w:t>Kolanga</w:t>
      </w:r>
      <w:r w:rsidRPr="00724D23">
        <w:rPr>
          <w:rFonts w:ascii="Times New Roman" w:hAnsi="Times New Roman" w:cs="Times New Roman"/>
          <w:b/>
          <w:sz w:val="22"/>
          <w:szCs w:val="22"/>
        </w:rPr>
        <w:t xml:space="preserve"> selon leur état</w:t>
      </w:r>
      <w:bookmarkEnd w:id="99"/>
      <w:bookmarkEnd w:id="100"/>
      <w:r w:rsidR="00724D23">
        <w:rPr>
          <w:rFonts w:ascii="Times New Roman" w:hAnsi="Times New Roman" w:cs="Times New Roman"/>
          <w:b/>
          <w:sz w:val="22"/>
          <w:szCs w:val="22"/>
        </w:rPr>
        <w:t xml:space="preserve"> en 2021</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999"/>
        <w:gridCol w:w="1149"/>
        <w:gridCol w:w="993"/>
        <w:gridCol w:w="1238"/>
        <w:gridCol w:w="1049"/>
        <w:gridCol w:w="1123"/>
      </w:tblGrid>
      <w:tr w:rsidR="00953D8F" w:rsidRPr="00D21BEF" w:rsidTr="00724D23">
        <w:trPr>
          <w:trHeight w:val="67"/>
        </w:trPr>
        <w:tc>
          <w:tcPr>
            <w:tcW w:w="1465" w:type="pct"/>
            <w:vMerge w:val="restart"/>
            <w:vAlign w:val="center"/>
          </w:tcPr>
          <w:p w:rsidR="00953D8F" w:rsidRPr="00724D23" w:rsidRDefault="00953D8F" w:rsidP="00724D23">
            <w:pPr>
              <w:snapToGrid w:val="0"/>
              <w:jc w:val="center"/>
              <w:rPr>
                <w:rFonts w:ascii="Times New Roman" w:hAnsi="Times New Roman" w:cs="Times New Roman"/>
                <w:b/>
                <w:sz w:val="22"/>
                <w:szCs w:val="22"/>
              </w:rPr>
            </w:pPr>
            <w:r w:rsidRPr="00724D23">
              <w:rPr>
                <w:rFonts w:ascii="Times New Roman" w:hAnsi="Times New Roman" w:cs="Times New Roman"/>
                <w:b/>
                <w:sz w:val="22"/>
                <w:szCs w:val="22"/>
              </w:rPr>
              <w:t>Type</w:t>
            </w:r>
          </w:p>
        </w:tc>
        <w:tc>
          <w:tcPr>
            <w:tcW w:w="1159" w:type="pct"/>
            <w:gridSpan w:val="2"/>
            <w:shd w:val="clear" w:color="auto" w:fill="FFFFFF"/>
            <w:vAlign w:val="center"/>
          </w:tcPr>
          <w:p w:rsidR="00953D8F" w:rsidRPr="00724D23" w:rsidRDefault="00724D23" w:rsidP="00724D23">
            <w:pPr>
              <w:snapToGrid w:val="0"/>
              <w:jc w:val="center"/>
              <w:rPr>
                <w:rFonts w:ascii="Times New Roman" w:hAnsi="Times New Roman" w:cs="Times New Roman"/>
                <w:b/>
                <w:sz w:val="22"/>
                <w:szCs w:val="22"/>
              </w:rPr>
            </w:pPr>
            <w:r>
              <w:rPr>
                <w:rFonts w:ascii="Times New Roman" w:hAnsi="Times New Roman" w:cs="Times New Roman"/>
                <w:b/>
                <w:sz w:val="22"/>
                <w:szCs w:val="22"/>
              </w:rPr>
              <w:t>2019</w:t>
            </w:r>
          </w:p>
        </w:tc>
        <w:tc>
          <w:tcPr>
            <w:tcW w:w="1204" w:type="pct"/>
            <w:gridSpan w:val="2"/>
            <w:shd w:val="clear" w:color="auto" w:fill="FFFFFF"/>
          </w:tcPr>
          <w:p w:rsidR="00953D8F" w:rsidRPr="00724D23" w:rsidRDefault="00724D23" w:rsidP="00724D23">
            <w:pPr>
              <w:snapToGrid w:val="0"/>
              <w:jc w:val="center"/>
              <w:rPr>
                <w:rFonts w:ascii="Times New Roman" w:hAnsi="Times New Roman" w:cs="Times New Roman"/>
                <w:b/>
                <w:sz w:val="22"/>
                <w:szCs w:val="22"/>
              </w:rPr>
            </w:pPr>
            <w:r>
              <w:rPr>
                <w:rFonts w:ascii="Times New Roman" w:hAnsi="Times New Roman" w:cs="Times New Roman"/>
                <w:b/>
                <w:sz w:val="22"/>
                <w:szCs w:val="22"/>
              </w:rPr>
              <w:t>2020</w:t>
            </w:r>
          </w:p>
        </w:tc>
        <w:tc>
          <w:tcPr>
            <w:tcW w:w="1172" w:type="pct"/>
            <w:gridSpan w:val="2"/>
            <w:shd w:val="clear" w:color="auto" w:fill="FFFFFF"/>
            <w:vAlign w:val="center"/>
          </w:tcPr>
          <w:p w:rsidR="00953D8F" w:rsidRPr="00724D23" w:rsidRDefault="00724D23" w:rsidP="00724D23">
            <w:pPr>
              <w:snapToGrid w:val="0"/>
              <w:jc w:val="center"/>
              <w:rPr>
                <w:rFonts w:ascii="Times New Roman" w:hAnsi="Times New Roman" w:cs="Times New Roman"/>
                <w:b/>
                <w:sz w:val="22"/>
                <w:szCs w:val="22"/>
              </w:rPr>
            </w:pPr>
            <w:r>
              <w:rPr>
                <w:rFonts w:ascii="Times New Roman" w:hAnsi="Times New Roman" w:cs="Times New Roman"/>
                <w:b/>
                <w:sz w:val="22"/>
                <w:szCs w:val="22"/>
              </w:rPr>
              <w:t>2021</w:t>
            </w:r>
          </w:p>
        </w:tc>
      </w:tr>
      <w:tr w:rsidR="00953D8F" w:rsidRPr="00D21BEF" w:rsidTr="00953D8F">
        <w:trPr>
          <w:trHeight w:val="151"/>
        </w:trPr>
        <w:tc>
          <w:tcPr>
            <w:tcW w:w="1465" w:type="pct"/>
            <w:vMerge/>
            <w:vAlign w:val="center"/>
          </w:tcPr>
          <w:p w:rsidR="00953D8F" w:rsidRPr="00724D23" w:rsidRDefault="00953D8F" w:rsidP="00724D23">
            <w:pPr>
              <w:snapToGrid w:val="0"/>
              <w:jc w:val="center"/>
              <w:rPr>
                <w:rFonts w:ascii="Times New Roman" w:hAnsi="Times New Roman" w:cs="Times New Roman"/>
                <w:b/>
                <w:sz w:val="22"/>
                <w:szCs w:val="22"/>
              </w:rPr>
            </w:pPr>
          </w:p>
        </w:tc>
        <w:tc>
          <w:tcPr>
            <w:tcW w:w="539" w:type="pct"/>
            <w:vAlign w:val="center"/>
          </w:tcPr>
          <w:p w:rsidR="00953D8F" w:rsidRPr="00724D23" w:rsidRDefault="00953D8F" w:rsidP="00724D23">
            <w:pPr>
              <w:snapToGrid w:val="0"/>
              <w:jc w:val="center"/>
              <w:rPr>
                <w:rFonts w:ascii="Times New Roman" w:hAnsi="Times New Roman" w:cs="Times New Roman"/>
                <w:i/>
                <w:sz w:val="20"/>
                <w:szCs w:val="20"/>
              </w:rPr>
            </w:pPr>
            <w:r w:rsidRPr="00724D23">
              <w:rPr>
                <w:rFonts w:ascii="Times New Roman" w:hAnsi="Times New Roman" w:cs="Times New Roman"/>
                <w:i/>
                <w:sz w:val="20"/>
                <w:szCs w:val="20"/>
              </w:rPr>
              <w:t>Bon</w:t>
            </w:r>
          </w:p>
        </w:tc>
        <w:tc>
          <w:tcPr>
            <w:tcW w:w="620" w:type="pct"/>
            <w:vAlign w:val="center"/>
          </w:tcPr>
          <w:p w:rsidR="00953D8F" w:rsidRPr="00724D23" w:rsidRDefault="00953D8F" w:rsidP="00724D23">
            <w:pPr>
              <w:snapToGrid w:val="0"/>
              <w:jc w:val="center"/>
              <w:rPr>
                <w:rFonts w:ascii="Times New Roman" w:hAnsi="Times New Roman" w:cs="Times New Roman"/>
                <w:i/>
                <w:sz w:val="20"/>
                <w:szCs w:val="20"/>
              </w:rPr>
            </w:pPr>
            <w:r w:rsidRPr="00724D23">
              <w:rPr>
                <w:rFonts w:ascii="Times New Roman" w:hAnsi="Times New Roman" w:cs="Times New Roman"/>
                <w:i/>
                <w:sz w:val="20"/>
                <w:szCs w:val="20"/>
              </w:rPr>
              <w:t>Mauvais</w:t>
            </w:r>
          </w:p>
        </w:tc>
        <w:tc>
          <w:tcPr>
            <w:tcW w:w="536" w:type="pct"/>
            <w:vAlign w:val="center"/>
          </w:tcPr>
          <w:p w:rsidR="00953D8F" w:rsidRPr="00724D23" w:rsidRDefault="00953D8F" w:rsidP="00724D23">
            <w:pPr>
              <w:snapToGrid w:val="0"/>
              <w:jc w:val="center"/>
              <w:rPr>
                <w:rFonts w:ascii="Times New Roman" w:hAnsi="Times New Roman" w:cs="Times New Roman"/>
                <w:i/>
                <w:sz w:val="20"/>
                <w:szCs w:val="20"/>
              </w:rPr>
            </w:pPr>
            <w:r w:rsidRPr="00724D23">
              <w:rPr>
                <w:rFonts w:ascii="Times New Roman" w:hAnsi="Times New Roman" w:cs="Times New Roman"/>
                <w:i/>
                <w:sz w:val="20"/>
                <w:szCs w:val="20"/>
              </w:rPr>
              <w:t>Bon</w:t>
            </w:r>
          </w:p>
        </w:tc>
        <w:tc>
          <w:tcPr>
            <w:tcW w:w="668" w:type="pct"/>
            <w:vAlign w:val="center"/>
          </w:tcPr>
          <w:p w:rsidR="00953D8F" w:rsidRPr="00724D23" w:rsidRDefault="00953D8F" w:rsidP="00724D23">
            <w:pPr>
              <w:snapToGrid w:val="0"/>
              <w:jc w:val="center"/>
              <w:rPr>
                <w:rFonts w:ascii="Times New Roman" w:hAnsi="Times New Roman" w:cs="Times New Roman"/>
                <w:i/>
                <w:sz w:val="20"/>
                <w:szCs w:val="20"/>
              </w:rPr>
            </w:pPr>
            <w:r w:rsidRPr="00724D23">
              <w:rPr>
                <w:rFonts w:ascii="Times New Roman" w:hAnsi="Times New Roman" w:cs="Times New Roman"/>
                <w:i/>
                <w:sz w:val="20"/>
                <w:szCs w:val="20"/>
              </w:rPr>
              <w:t>Mauvais</w:t>
            </w:r>
          </w:p>
        </w:tc>
        <w:tc>
          <w:tcPr>
            <w:tcW w:w="566" w:type="pct"/>
            <w:vAlign w:val="center"/>
          </w:tcPr>
          <w:p w:rsidR="00953D8F" w:rsidRPr="00724D23" w:rsidRDefault="00953D8F" w:rsidP="00724D23">
            <w:pPr>
              <w:snapToGrid w:val="0"/>
              <w:jc w:val="center"/>
              <w:rPr>
                <w:rFonts w:ascii="Times New Roman" w:hAnsi="Times New Roman" w:cs="Times New Roman"/>
                <w:i/>
                <w:sz w:val="20"/>
                <w:szCs w:val="20"/>
              </w:rPr>
            </w:pPr>
            <w:r w:rsidRPr="00724D23">
              <w:rPr>
                <w:rFonts w:ascii="Times New Roman" w:hAnsi="Times New Roman" w:cs="Times New Roman"/>
                <w:i/>
                <w:sz w:val="20"/>
                <w:szCs w:val="20"/>
              </w:rPr>
              <w:t>Bon</w:t>
            </w:r>
          </w:p>
        </w:tc>
        <w:tc>
          <w:tcPr>
            <w:tcW w:w="606" w:type="pct"/>
            <w:vAlign w:val="center"/>
          </w:tcPr>
          <w:p w:rsidR="00953D8F" w:rsidRPr="00724D23" w:rsidRDefault="00953D8F" w:rsidP="00724D23">
            <w:pPr>
              <w:snapToGrid w:val="0"/>
              <w:jc w:val="center"/>
              <w:rPr>
                <w:rFonts w:ascii="Times New Roman" w:hAnsi="Times New Roman" w:cs="Times New Roman"/>
                <w:i/>
                <w:sz w:val="20"/>
                <w:szCs w:val="20"/>
              </w:rPr>
            </w:pPr>
            <w:r w:rsidRPr="00724D23">
              <w:rPr>
                <w:rFonts w:ascii="Times New Roman" w:hAnsi="Times New Roman" w:cs="Times New Roman"/>
                <w:i/>
                <w:sz w:val="20"/>
                <w:szCs w:val="20"/>
              </w:rPr>
              <w:t>Mauvais</w:t>
            </w:r>
          </w:p>
        </w:tc>
      </w:tr>
      <w:tr w:rsidR="00953D8F" w:rsidRPr="00D21BEF" w:rsidTr="007B68A3">
        <w:trPr>
          <w:trHeight w:val="67"/>
        </w:trPr>
        <w:tc>
          <w:tcPr>
            <w:tcW w:w="1465" w:type="pct"/>
          </w:tcPr>
          <w:p w:rsidR="00953D8F" w:rsidRPr="00724D23" w:rsidRDefault="00953D8F" w:rsidP="00724D23">
            <w:pPr>
              <w:spacing w:line="276" w:lineRule="auto"/>
              <w:rPr>
                <w:rFonts w:ascii="Times New Roman" w:hAnsi="Times New Roman" w:cs="Times New Roman"/>
                <w:sz w:val="20"/>
                <w:szCs w:val="20"/>
              </w:rPr>
            </w:pPr>
            <w:r w:rsidRPr="00724D23">
              <w:rPr>
                <w:rFonts w:ascii="Times New Roman" w:hAnsi="Times New Roman" w:cs="Times New Roman"/>
                <w:sz w:val="20"/>
                <w:szCs w:val="20"/>
              </w:rPr>
              <w:t>Congélateurs</w:t>
            </w:r>
          </w:p>
        </w:tc>
        <w:tc>
          <w:tcPr>
            <w:tcW w:w="539" w:type="pct"/>
            <w:vAlign w:val="center"/>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w:t>
            </w:r>
            <w:r w:rsidR="00724D23">
              <w:rPr>
                <w:rFonts w:ascii="Times New Roman" w:hAnsi="Times New Roman" w:cs="Times New Roman"/>
                <w:sz w:val="20"/>
                <w:szCs w:val="20"/>
              </w:rPr>
              <w:t>5</w:t>
            </w:r>
          </w:p>
        </w:tc>
        <w:tc>
          <w:tcPr>
            <w:tcW w:w="620" w:type="pct"/>
            <w:vAlign w:val="center"/>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02</w:t>
            </w:r>
          </w:p>
        </w:tc>
        <w:tc>
          <w:tcPr>
            <w:tcW w:w="536"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668" w:type="pct"/>
            <w:vAlign w:val="center"/>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02</w:t>
            </w:r>
          </w:p>
        </w:tc>
        <w:tc>
          <w:tcPr>
            <w:tcW w:w="566" w:type="pct"/>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03</w:t>
            </w:r>
          </w:p>
        </w:tc>
        <w:tc>
          <w:tcPr>
            <w:tcW w:w="606" w:type="pct"/>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02</w:t>
            </w:r>
          </w:p>
        </w:tc>
      </w:tr>
      <w:tr w:rsidR="00953D8F" w:rsidRPr="00D21BEF" w:rsidTr="007B68A3">
        <w:trPr>
          <w:trHeight w:val="67"/>
        </w:trPr>
        <w:tc>
          <w:tcPr>
            <w:tcW w:w="1465" w:type="pct"/>
          </w:tcPr>
          <w:p w:rsidR="00953D8F" w:rsidRPr="00724D23" w:rsidRDefault="00953D8F" w:rsidP="00724D23">
            <w:pPr>
              <w:spacing w:line="276" w:lineRule="auto"/>
              <w:rPr>
                <w:rFonts w:ascii="Times New Roman" w:hAnsi="Times New Roman" w:cs="Times New Roman"/>
                <w:sz w:val="20"/>
                <w:szCs w:val="20"/>
              </w:rPr>
            </w:pPr>
            <w:r w:rsidRPr="00724D23">
              <w:rPr>
                <w:rFonts w:ascii="Times New Roman" w:hAnsi="Times New Roman" w:cs="Times New Roman"/>
                <w:sz w:val="20"/>
                <w:szCs w:val="20"/>
              </w:rPr>
              <w:t>Réfrigérateurs</w:t>
            </w:r>
          </w:p>
        </w:tc>
        <w:tc>
          <w:tcPr>
            <w:tcW w:w="539"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20"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536"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68" w:type="pct"/>
            <w:vAlign w:val="center"/>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05</w:t>
            </w:r>
          </w:p>
        </w:tc>
        <w:tc>
          <w:tcPr>
            <w:tcW w:w="56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60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953D8F" w:rsidRPr="00D21BEF" w:rsidTr="007B68A3">
        <w:trPr>
          <w:trHeight w:val="67"/>
        </w:trPr>
        <w:tc>
          <w:tcPr>
            <w:tcW w:w="1465" w:type="pct"/>
          </w:tcPr>
          <w:p w:rsidR="00953D8F" w:rsidRPr="00724D23" w:rsidRDefault="00953D8F" w:rsidP="00724D23">
            <w:pPr>
              <w:spacing w:line="276" w:lineRule="auto"/>
              <w:rPr>
                <w:rFonts w:ascii="Times New Roman" w:hAnsi="Times New Roman" w:cs="Times New Roman"/>
                <w:sz w:val="20"/>
                <w:szCs w:val="20"/>
              </w:rPr>
            </w:pPr>
            <w:r w:rsidRPr="00724D23">
              <w:rPr>
                <w:rFonts w:ascii="Times New Roman" w:hAnsi="Times New Roman" w:cs="Times New Roman"/>
                <w:sz w:val="20"/>
                <w:szCs w:val="20"/>
              </w:rPr>
              <w:t>Glacières</w:t>
            </w:r>
          </w:p>
        </w:tc>
        <w:tc>
          <w:tcPr>
            <w:tcW w:w="539" w:type="pct"/>
            <w:vAlign w:val="center"/>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w:t>
            </w:r>
            <w:r w:rsidR="00724D23">
              <w:rPr>
                <w:rFonts w:ascii="Times New Roman" w:hAnsi="Times New Roman" w:cs="Times New Roman"/>
                <w:sz w:val="20"/>
                <w:szCs w:val="20"/>
              </w:rPr>
              <w:t>8</w:t>
            </w:r>
          </w:p>
        </w:tc>
        <w:tc>
          <w:tcPr>
            <w:tcW w:w="620"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536"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668"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566" w:type="pct"/>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5</w:t>
            </w:r>
          </w:p>
        </w:tc>
        <w:tc>
          <w:tcPr>
            <w:tcW w:w="60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53D8F" w:rsidRPr="00D21BEF" w:rsidTr="007B68A3">
        <w:trPr>
          <w:trHeight w:val="67"/>
        </w:trPr>
        <w:tc>
          <w:tcPr>
            <w:tcW w:w="1465" w:type="pct"/>
          </w:tcPr>
          <w:p w:rsidR="00953D8F" w:rsidRPr="00724D23" w:rsidRDefault="00953D8F" w:rsidP="00724D23">
            <w:pPr>
              <w:spacing w:line="276" w:lineRule="auto"/>
              <w:rPr>
                <w:rFonts w:ascii="Times New Roman" w:hAnsi="Times New Roman" w:cs="Times New Roman"/>
                <w:sz w:val="20"/>
                <w:szCs w:val="20"/>
              </w:rPr>
            </w:pPr>
            <w:r w:rsidRPr="00724D23">
              <w:rPr>
                <w:rFonts w:ascii="Times New Roman" w:hAnsi="Times New Roman" w:cs="Times New Roman"/>
                <w:sz w:val="20"/>
                <w:szCs w:val="20"/>
              </w:rPr>
              <w:t>Vaccine carrier</w:t>
            </w:r>
          </w:p>
        </w:tc>
        <w:tc>
          <w:tcPr>
            <w:tcW w:w="539" w:type="pct"/>
            <w:vAlign w:val="center"/>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3</w:t>
            </w:r>
            <w:r w:rsidR="00724D23">
              <w:rPr>
                <w:rFonts w:ascii="Times New Roman" w:hAnsi="Times New Roman" w:cs="Times New Roman"/>
                <w:sz w:val="20"/>
                <w:szCs w:val="20"/>
              </w:rPr>
              <w:t>90</w:t>
            </w:r>
          </w:p>
        </w:tc>
        <w:tc>
          <w:tcPr>
            <w:tcW w:w="620"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36"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356</w:t>
            </w:r>
          </w:p>
        </w:tc>
        <w:tc>
          <w:tcPr>
            <w:tcW w:w="668"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56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60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53D8F" w:rsidRPr="00D21BEF" w:rsidTr="00953D8F">
        <w:trPr>
          <w:trHeight w:val="299"/>
        </w:trPr>
        <w:tc>
          <w:tcPr>
            <w:tcW w:w="1465" w:type="pct"/>
          </w:tcPr>
          <w:p w:rsidR="00953D8F" w:rsidRPr="00724D23" w:rsidRDefault="00953D8F" w:rsidP="00724D23">
            <w:pPr>
              <w:spacing w:line="276" w:lineRule="auto"/>
              <w:rPr>
                <w:rFonts w:ascii="Times New Roman" w:hAnsi="Times New Roman" w:cs="Times New Roman"/>
                <w:sz w:val="20"/>
                <w:szCs w:val="20"/>
              </w:rPr>
            </w:pPr>
            <w:r w:rsidRPr="00724D23">
              <w:rPr>
                <w:rFonts w:ascii="Times New Roman" w:hAnsi="Times New Roman" w:cs="Times New Roman"/>
                <w:sz w:val="20"/>
                <w:szCs w:val="20"/>
              </w:rPr>
              <w:t>Thermomètres internes</w:t>
            </w:r>
          </w:p>
        </w:tc>
        <w:tc>
          <w:tcPr>
            <w:tcW w:w="539"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20"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536"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668"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56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606" w:type="pct"/>
          </w:tcPr>
          <w:p w:rsidR="00953D8F" w:rsidRPr="00724D23" w:rsidRDefault="00953D8F" w:rsidP="00724D23">
            <w:pPr>
              <w:spacing w:line="276" w:lineRule="auto"/>
              <w:jc w:val="center"/>
              <w:rPr>
                <w:rFonts w:ascii="Times New Roman" w:hAnsi="Times New Roman" w:cs="Times New Roman"/>
                <w:sz w:val="20"/>
                <w:szCs w:val="20"/>
              </w:rPr>
            </w:pPr>
            <w:r w:rsidRPr="00724D23">
              <w:rPr>
                <w:rFonts w:ascii="Times New Roman" w:hAnsi="Times New Roman" w:cs="Times New Roman"/>
                <w:sz w:val="20"/>
                <w:szCs w:val="20"/>
              </w:rPr>
              <w:t>00</w:t>
            </w:r>
          </w:p>
        </w:tc>
      </w:tr>
      <w:tr w:rsidR="00953D8F" w:rsidRPr="00D21BEF" w:rsidTr="007B68A3">
        <w:trPr>
          <w:trHeight w:val="67"/>
        </w:trPr>
        <w:tc>
          <w:tcPr>
            <w:tcW w:w="1465" w:type="pct"/>
          </w:tcPr>
          <w:p w:rsidR="00953D8F" w:rsidRPr="00724D23" w:rsidRDefault="00953D8F" w:rsidP="00724D23">
            <w:pPr>
              <w:spacing w:line="276" w:lineRule="auto"/>
              <w:rPr>
                <w:rFonts w:ascii="Times New Roman" w:hAnsi="Times New Roman" w:cs="Times New Roman"/>
                <w:sz w:val="20"/>
                <w:szCs w:val="20"/>
              </w:rPr>
            </w:pPr>
            <w:r w:rsidRPr="00724D23">
              <w:rPr>
                <w:rFonts w:ascii="Times New Roman" w:hAnsi="Times New Roman" w:cs="Times New Roman"/>
                <w:sz w:val="20"/>
                <w:szCs w:val="20"/>
              </w:rPr>
              <w:t>Bouteilles de gaz</w:t>
            </w:r>
          </w:p>
        </w:tc>
        <w:tc>
          <w:tcPr>
            <w:tcW w:w="539"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620"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536"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668" w:type="pct"/>
            <w:vAlign w:val="center"/>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56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105</w:t>
            </w:r>
          </w:p>
        </w:tc>
        <w:tc>
          <w:tcPr>
            <w:tcW w:w="606" w:type="pct"/>
          </w:tcPr>
          <w:p w:rsidR="00953D8F" w:rsidRPr="00724D23" w:rsidRDefault="00724D23" w:rsidP="00724D23">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r>
    </w:tbl>
    <w:p w:rsidR="00724D23" w:rsidRDefault="00724D23"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lastRenderedPageBreak/>
        <w:t>Le district dispose du minimum de matériel pour l’exécution des activités du PEV. Le dépôt PEV du d</w:t>
      </w:r>
      <w:r w:rsidR="00724D23">
        <w:rPr>
          <w:rFonts w:ascii="Times New Roman" w:hAnsi="Times New Roman" w:cs="Times New Roman"/>
          <w:sz w:val="22"/>
          <w:szCs w:val="22"/>
        </w:rPr>
        <w:t>istrict a reçu de la Direction Centrale de la Vaccination en 2021</w:t>
      </w:r>
      <w:r w:rsidRPr="00D21BEF">
        <w:rPr>
          <w:rFonts w:ascii="Times New Roman" w:hAnsi="Times New Roman" w:cs="Times New Roman"/>
          <w:sz w:val="22"/>
          <w:szCs w:val="22"/>
        </w:rPr>
        <w:t xml:space="preserve"> trois réfrigérateurs. La maintenance de ce matériel est insuffisance par manque de techniciens locaux. La </w:t>
      </w:r>
      <w:r w:rsidR="00724D23">
        <w:rPr>
          <w:rFonts w:ascii="Times New Roman" w:hAnsi="Times New Roman" w:cs="Times New Roman"/>
          <w:sz w:val="22"/>
          <w:szCs w:val="22"/>
        </w:rPr>
        <w:t>région sanitaire</w:t>
      </w:r>
      <w:r w:rsidRPr="00D21BEF">
        <w:rPr>
          <w:rFonts w:ascii="Times New Roman" w:hAnsi="Times New Roman" w:cs="Times New Roman"/>
          <w:sz w:val="22"/>
          <w:szCs w:val="22"/>
        </w:rPr>
        <w:t xml:space="preserve"> appuie souvent le district dans la maintenance de cette logistique.</w:t>
      </w:r>
    </w:p>
    <w:p w:rsidR="00953D8F" w:rsidRPr="007B68A3" w:rsidRDefault="00953D8F" w:rsidP="00953D8F">
      <w:pPr>
        <w:spacing w:line="276" w:lineRule="auto"/>
        <w:jc w:val="both"/>
        <w:rPr>
          <w:rFonts w:ascii="Times New Roman" w:hAnsi="Times New Roman" w:cs="Times New Roman"/>
          <w:sz w:val="20"/>
          <w:szCs w:val="22"/>
        </w:rPr>
      </w:pPr>
    </w:p>
    <w:p w:rsidR="00953D8F" w:rsidRPr="00724D23" w:rsidRDefault="007B68A3"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3.3</w:t>
      </w:r>
      <w:r w:rsidR="00724D23">
        <w:rPr>
          <w:rFonts w:ascii="Times New Roman" w:hAnsi="Times New Roman" w:cs="Times New Roman"/>
          <w:i/>
          <w:sz w:val="22"/>
          <w:szCs w:val="22"/>
        </w:rPr>
        <w:t>. Matériel médico-technique</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Grâce à l’appui de l’Etat et de ses partenaires, les </w:t>
      </w:r>
      <w:r w:rsidR="00724D23">
        <w:rPr>
          <w:rFonts w:ascii="Times New Roman" w:hAnsi="Times New Roman" w:cs="Times New Roman"/>
          <w:sz w:val="22"/>
          <w:szCs w:val="22"/>
        </w:rPr>
        <w:t>FOSA</w:t>
      </w:r>
      <w:r w:rsidRPr="00D21BEF">
        <w:rPr>
          <w:rFonts w:ascii="Times New Roman" w:hAnsi="Times New Roman" w:cs="Times New Roman"/>
          <w:sz w:val="22"/>
          <w:szCs w:val="22"/>
        </w:rPr>
        <w:t xml:space="preserve"> ont été dotées en matériel </w:t>
      </w:r>
      <w:r w:rsidR="00724D23" w:rsidRPr="00D21BEF">
        <w:rPr>
          <w:rFonts w:ascii="Times New Roman" w:hAnsi="Times New Roman" w:cs="Times New Roman"/>
          <w:sz w:val="22"/>
          <w:szCs w:val="22"/>
        </w:rPr>
        <w:t>médicotechnique</w:t>
      </w:r>
      <w:r w:rsidRPr="00D21BEF">
        <w:rPr>
          <w:rFonts w:ascii="Times New Roman" w:hAnsi="Times New Roman" w:cs="Times New Roman"/>
          <w:sz w:val="22"/>
          <w:szCs w:val="22"/>
        </w:rPr>
        <w:t xml:space="preserve"> pour leur fonctionnement. Cependant ce matériel reste largement en deçà des besoins vu l’accroissement de la demande. De plus on note au niveau </w:t>
      </w:r>
      <w:r w:rsidR="00724D23">
        <w:rPr>
          <w:rFonts w:ascii="Times New Roman" w:hAnsi="Times New Roman" w:cs="Times New Roman"/>
          <w:sz w:val="22"/>
          <w:szCs w:val="22"/>
        </w:rPr>
        <w:t>de l’hôpital de district</w:t>
      </w:r>
      <w:r w:rsidRPr="00D21BEF">
        <w:rPr>
          <w:rFonts w:ascii="Times New Roman" w:hAnsi="Times New Roman" w:cs="Times New Roman"/>
          <w:sz w:val="22"/>
          <w:szCs w:val="22"/>
        </w:rPr>
        <w:t xml:space="preserve">, l’absence de services spécialisés (radiologie, santé mentale, bucco-dentaire, </w:t>
      </w:r>
      <w:r w:rsidR="00724D23">
        <w:rPr>
          <w:rFonts w:ascii="Times New Roman" w:hAnsi="Times New Roman" w:cs="Times New Roman"/>
          <w:sz w:val="22"/>
          <w:szCs w:val="22"/>
        </w:rPr>
        <w:t>neurologie</w:t>
      </w:r>
      <w:r w:rsidRPr="00D21BEF">
        <w:rPr>
          <w:rFonts w:ascii="Times New Roman" w:hAnsi="Times New Roman" w:cs="Times New Roman"/>
          <w:sz w:val="22"/>
          <w:szCs w:val="22"/>
        </w:rPr>
        <w:t xml:space="preserve">…).  Le bloc opératoire manque </w:t>
      </w:r>
      <w:r w:rsidR="00724D23" w:rsidRPr="00D21BEF">
        <w:rPr>
          <w:rFonts w:ascii="Times New Roman" w:hAnsi="Times New Roman" w:cs="Times New Roman"/>
          <w:sz w:val="22"/>
          <w:szCs w:val="22"/>
        </w:rPr>
        <w:t>de certains</w:t>
      </w:r>
      <w:r w:rsidRPr="00D21BEF">
        <w:rPr>
          <w:rFonts w:ascii="Times New Roman" w:hAnsi="Times New Roman" w:cs="Times New Roman"/>
          <w:sz w:val="22"/>
          <w:szCs w:val="22"/>
        </w:rPr>
        <w:t xml:space="preserve"> équipements. On note également l’absence de fauteuil dentaire, d’extracteur d’oxygèn</w:t>
      </w:r>
      <w:r w:rsidR="00724D23">
        <w:rPr>
          <w:rFonts w:ascii="Times New Roman" w:hAnsi="Times New Roman" w:cs="Times New Roman"/>
          <w:sz w:val="22"/>
          <w:szCs w:val="22"/>
        </w:rPr>
        <w:t>e et d’aspirateur électrique</w:t>
      </w:r>
    </w:p>
    <w:p w:rsidR="00724D23" w:rsidRDefault="00724D23" w:rsidP="00953D8F">
      <w:pPr>
        <w:spacing w:line="276" w:lineRule="auto"/>
        <w:jc w:val="both"/>
        <w:rPr>
          <w:rFonts w:ascii="Times New Roman" w:hAnsi="Times New Roman" w:cs="Times New Roman"/>
          <w:i/>
          <w:sz w:val="22"/>
          <w:szCs w:val="22"/>
        </w:rPr>
      </w:pPr>
    </w:p>
    <w:p w:rsidR="00953D8F" w:rsidRPr="00724D23" w:rsidRDefault="007B68A3"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3.4</w:t>
      </w:r>
      <w:r w:rsidR="00724D23">
        <w:rPr>
          <w:rFonts w:ascii="Times New Roman" w:hAnsi="Times New Roman" w:cs="Times New Roman"/>
          <w:i/>
          <w:sz w:val="22"/>
          <w:szCs w:val="22"/>
        </w:rPr>
        <w:t xml:space="preserve">. </w:t>
      </w:r>
      <w:r w:rsidR="00953D8F" w:rsidRPr="00724D23">
        <w:rPr>
          <w:rFonts w:ascii="Times New Roman" w:hAnsi="Times New Roman" w:cs="Times New Roman"/>
          <w:i/>
          <w:sz w:val="22"/>
          <w:szCs w:val="22"/>
        </w:rPr>
        <w:t>Moyens de communication</w:t>
      </w:r>
    </w:p>
    <w:p w:rsidR="00953D8F" w:rsidRDefault="00724D23"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La majorité des FOSA </w:t>
      </w:r>
      <w:r w:rsidR="00953D8F" w:rsidRPr="00D21BEF">
        <w:rPr>
          <w:rFonts w:ascii="Times New Roman" w:hAnsi="Times New Roman" w:cs="Times New Roman"/>
          <w:sz w:val="22"/>
          <w:szCs w:val="22"/>
        </w:rPr>
        <w:t xml:space="preserve">ne sont pas couverts par le réseau de communication téléphonique. </w:t>
      </w:r>
      <w:r>
        <w:rPr>
          <w:rFonts w:ascii="Times New Roman" w:hAnsi="Times New Roman" w:cs="Times New Roman"/>
          <w:sz w:val="22"/>
          <w:szCs w:val="22"/>
        </w:rPr>
        <w:t xml:space="preserve">Les </w:t>
      </w:r>
      <w:r w:rsidR="00953D8F" w:rsidRPr="00D21BEF">
        <w:rPr>
          <w:rFonts w:ascii="Times New Roman" w:hAnsi="Times New Roman" w:cs="Times New Roman"/>
          <w:sz w:val="22"/>
          <w:szCs w:val="22"/>
        </w:rPr>
        <w:t>besoin</w:t>
      </w:r>
      <w:r>
        <w:rPr>
          <w:rFonts w:ascii="Times New Roman" w:hAnsi="Times New Roman" w:cs="Times New Roman"/>
          <w:sz w:val="22"/>
          <w:szCs w:val="22"/>
        </w:rPr>
        <w:t>s</w:t>
      </w:r>
      <w:r w:rsidR="00953D8F" w:rsidRPr="00D21BEF">
        <w:rPr>
          <w:rFonts w:ascii="Times New Roman" w:hAnsi="Times New Roman" w:cs="Times New Roman"/>
          <w:sz w:val="22"/>
          <w:szCs w:val="22"/>
        </w:rPr>
        <w:t xml:space="preserve"> du district en lignes de communication demeure</w:t>
      </w:r>
      <w:r>
        <w:rPr>
          <w:rFonts w:ascii="Times New Roman" w:hAnsi="Times New Roman" w:cs="Times New Roman"/>
          <w:sz w:val="22"/>
          <w:szCs w:val="22"/>
        </w:rPr>
        <w:t>nt</w:t>
      </w:r>
      <w:r w:rsidR="00953D8F" w:rsidRPr="00D21BEF">
        <w:rPr>
          <w:rFonts w:ascii="Times New Roman" w:hAnsi="Times New Roman" w:cs="Times New Roman"/>
          <w:sz w:val="22"/>
          <w:szCs w:val="22"/>
        </w:rPr>
        <w:t xml:space="preserve"> insatisfait</w:t>
      </w:r>
      <w:r>
        <w:rPr>
          <w:rFonts w:ascii="Times New Roman" w:hAnsi="Times New Roman" w:cs="Times New Roman"/>
          <w:sz w:val="22"/>
          <w:szCs w:val="22"/>
        </w:rPr>
        <w:t>s</w:t>
      </w:r>
      <w:r w:rsidR="00953D8F" w:rsidRPr="00D21BEF">
        <w:rPr>
          <w:rFonts w:ascii="Times New Roman" w:hAnsi="Times New Roman" w:cs="Times New Roman"/>
          <w:sz w:val="22"/>
          <w:szCs w:val="22"/>
        </w:rPr>
        <w:t>. Le siège du district ne dispose p</w:t>
      </w:r>
      <w:r>
        <w:rPr>
          <w:rFonts w:ascii="Times New Roman" w:hAnsi="Times New Roman" w:cs="Times New Roman"/>
          <w:sz w:val="22"/>
          <w:szCs w:val="22"/>
        </w:rPr>
        <w:t xml:space="preserve">as de connexion internet </w:t>
      </w:r>
    </w:p>
    <w:p w:rsidR="00724D23" w:rsidRPr="00D21BEF" w:rsidRDefault="00724D23" w:rsidP="00953D8F">
      <w:pPr>
        <w:spacing w:line="276" w:lineRule="auto"/>
        <w:jc w:val="both"/>
        <w:rPr>
          <w:rFonts w:ascii="Times New Roman" w:hAnsi="Times New Roman" w:cs="Times New Roman"/>
          <w:sz w:val="22"/>
          <w:szCs w:val="22"/>
        </w:rPr>
      </w:pPr>
    </w:p>
    <w:p w:rsidR="00953D8F" w:rsidRPr="00724D23" w:rsidRDefault="007B68A3"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3.5</w:t>
      </w:r>
      <w:r w:rsidR="00724D23">
        <w:rPr>
          <w:rFonts w:ascii="Times New Roman" w:hAnsi="Times New Roman" w:cs="Times New Roman"/>
          <w:i/>
          <w:sz w:val="22"/>
          <w:szCs w:val="22"/>
        </w:rPr>
        <w:t xml:space="preserve">. </w:t>
      </w:r>
      <w:r w:rsidR="00953D8F" w:rsidRPr="00724D23">
        <w:rPr>
          <w:rFonts w:ascii="Times New Roman" w:hAnsi="Times New Roman" w:cs="Times New Roman"/>
          <w:i/>
          <w:sz w:val="22"/>
          <w:szCs w:val="22"/>
        </w:rPr>
        <w:t>Source d’énergie</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La continuité des soins exige la disponibilité permanente d’un système d’éclairage. </w:t>
      </w:r>
      <w:r w:rsidR="00724D23">
        <w:rPr>
          <w:rFonts w:ascii="Times New Roman" w:hAnsi="Times New Roman" w:cs="Times New Roman"/>
          <w:sz w:val="22"/>
          <w:szCs w:val="22"/>
        </w:rPr>
        <w:t xml:space="preserve">Quelques FOSA </w:t>
      </w:r>
      <w:r w:rsidRPr="00D21BEF">
        <w:rPr>
          <w:rFonts w:ascii="Times New Roman" w:hAnsi="Times New Roman" w:cs="Times New Roman"/>
          <w:sz w:val="22"/>
          <w:szCs w:val="22"/>
        </w:rPr>
        <w:t xml:space="preserve">disposent </w:t>
      </w:r>
      <w:r w:rsidR="00724D23">
        <w:rPr>
          <w:rFonts w:ascii="Times New Roman" w:hAnsi="Times New Roman" w:cs="Times New Roman"/>
          <w:sz w:val="22"/>
          <w:szCs w:val="22"/>
        </w:rPr>
        <w:t>de</w:t>
      </w:r>
      <w:r w:rsidRPr="00D21BEF">
        <w:rPr>
          <w:rFonts w:ascii="Times New Roman" w:hAnsi="Times New Roman" w:cs="Times New Roman"/>
          <w:sz w:val="22"/>
          <w:szCs w:val="22"/>
        </w:rPr>
        <w:t xml:space="preserve"> source d’énergie solaire peu performante. Les structures sanitaires urbaines de </w:t>
      </w:r>
      <w:r w:rsidR="003D46BA" w:rsidRPr="00D21BEF">
        <w:rPr>
          <w:rFonts w:ascii="Times New Roman" w:hAnsi="Times New Roman" w:cs="Times New Roman"/>
          <w:sz w:val="22"/>
          <w:szCs w:val="22"/>
        </w:rPr>
        <w:t>Kolanga</w:t>
      </w:r>
      <w:r w:rsidRPr="00D21BEF">
        <w:rPr>
          <w:rFonts w:ascii="Times New Roman" w:hAnsi="Times New Roman" w:cs="Times New Roman"/>
          <w:sz w:val="22"/>
          <w:szCs w:val="22"/>
        </w:rPr>
        <w:t xml:space="preserve"> sont alimentées par la </w:t>
      </w:r>
      <w:r w:rsidR="00724D23">
        <w:rPr>
          <w:rFonts w:ascii="Times New Roman" w:hAnsi="Times New Roman" w:cs="Times New Roman"/>
          <w:sz w:val="22"/>
          <w:szCs w:val="22"/>
        </w:rPr>
        <w:t>société nationale d’électricité</w:t>
      </w:r>
      <w:r w:rsidRPr="00D21BEF">
        <w:rPr>
          <w:rFonts w:ascii="Times New Roman" w:hAnsi="Times New Roman" w:cs="Times New Roman"/>
          <w:sz w:val="22"/>
          <w:szCs w:val="22"/>
        </w:rPr>
        <w:t xml:space="preserve">. Pour pallier aux </w:t>
      </w:r>
      <w:r w:rsidR="00724D23" w:rsidRPr="00D21BEF">
        <w:rPr>
          <w:rFonts w:ascii="Times New Roman" w:hAnsi="Times New Roman" w:cs="Times New Roman"/>
          <w:sz w:val="22"/>
          <w:szCs w:val="22"/>
        </w:rPr>
        <w:t>multiples délestages</w:t>
      </w:r>
      <w:r w:rsidRPr="00D21BEF">
        <w:rPr>
          <w:rFonts w:ascii="Times New Roman" w:hAnsi="Times New Roman" w:cs="Times New Roman"/>
          <w:sz w:val="22"/>
          <w:szCs w:val="22"/>
        </w:rPr>
        <w:t xml:space="preserve">, le bloc opératoire est doté d’un groupe électrogène de relais. Cependant celui-ci ne peut pas alimenter tout </w:t>
      </w:r>
      <w:r w:rsidR="00724D23">
        <w:rPr>
          <w:rFonts w:ascii="Times New Roman" w:hAnsi="Times New Roman" w:cs="Times New Roman"/>
          <w:sz w:val="22"/>
          <w:szCs w:val="22"/>
        </w:rPr>
        <w:t>l’hôpital de district</w:t>
      </w:r>
      <w:r w:rsidRPr="00D21BEF">
        <w:rPr>
          <w:rFonts w:ascii="Times New Roman" w:hAnsi="Times New Roman" w:cs="Times New Roman"/>
          <w:sz w:val="22"/>
          <w:szCs w:val="22"/>
        </w:rPr>
        <w:t xml:space="preserve"> du fait d’un circuit d’installation défaillant.</w:t>
      </w:r>
    </w:p>
    <w:p w:rsidR="00832634" w:rsidRPr="00D21BEF" w:rsidRDefault="00832634" w:rsidP="00953D8F">
      <w:pPr>
        <w:spacing w:line="276" w:lineRule="auto"/>
        <w:jc w:val="both"/>
        <w:rPr>
          <w:rFonts w:ascii="Times New Roman" w:hAnsi="Times New Roman" w:cs="Times New Roman"/>
          <w:sz w:val="22"/>
          <w:szCs w:val="22"/>
        </w:rPr>
      </w:pPr>
    </w:p>
    <w:p w:rsidR="0082509F" w:rsidRPr="00724D23" w:rsidRDefault="0082509F" w:rsidP="0082509F">
      <w:pPr>
        <w:spacing w:line="276" w:lineRule="auto"/>
        <w:jc w:val="both"/>
        <w:rPr>
          <w:rFonts w:ascii="Times New Roman" w:hAnsi="Times New Roman" w:cs="Times New Roman"/>
          <w:i/>
          <w:sz w:val="22"/>
          <w:szCs w:val="22"/>
        </w:rPr>
      </w:pPr>
      <w:r>
        <w:rPr>
          <w:rFonts w:ascii="Times New Roman" w:hAnsi="Times New Roman" w:cs="Times New Roman"/>
          <w:i/>
          <w:sz w:val="22"/>
          <w:szCs w:val="22"/>
        </w:rPr>
        <w:t>3.6. Situation du personnel</w:t>
      </w:r>
    </w:p>
    <w:p w:rsidR="0082509F" w:rsidRDefault="0082509F"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Le district compte 150</w:t>
      </w:r>
      <w:r w:rsidR="00953D8F" w:rsidRPr="00D21BEF">
        <w:rPr>
          <w:rFonts w:ascii="Times New Roman" w:hAnsi="Times New Roman" w:cs="Times New Roman"/>
          <w:sz w:val="22"/>
          <w:szCs w:val="22"/>
        </w:rPr>
        <w:t xml:space="preserve"> agents. Ce personnel est jeune dans son ensemble. La plupart des agents demandent des affectations dès qu’ils remplissent les conditions requises et le district reçoit très peu d’agents expérimentés. Cette mobilité ne permet pas de capitaliser les expériences acquises, ce qui met le district dans un besoin permanent e</w:t>
      </w:r>
      <w:r>
        <w:rPr>
          <w:rFonts w:ascii="Times New Roman" w:hAnsi="Times New Roman" w:cs="Times New Roman"/>
          <w:sz w:val="22"/>
          <w:szCs w:val="22"/>
        </w:rPr>
        <w:t>n personnel expérimenté. En 2021, seulement 45</w:t>
      </w:r>
      <w:r w:rsidR="00953D8F" w:rsidRPr="00D21BEF">
        <w:rPr>
          <w:rFonts w:ascii="Times New Roman" w:hAnsi="Times New Roman" w:cs="Times New Roman"/>
          <w:sz w:val="22"/>
          <w:szCs w:val="22"/>
        </w:rPr>
        <w:t>% des formations sanitaires remp</w:t>
      </w:r>
      <w:r w:rsidR="007B68A3">
        <w:rPr>
          <w:rFonts w:ascii="Times New Roman" w:hAnsi="Times New Roman" w:cs="Times New Roman"/>
          <w:sz w:val="22"/>
          <w:szCs w:val="22"/>
        </w:rPr>
        <w:t>lissent les normes en personnel.</w:t>
      </w:r>
    </w:p>
    <w:p w:rsidR="00A757CC" w:rsidRDefault="00A757CC" w:rsidP="00953D8F">
      <w:pPr>
        <w:spacing w:line="276" w:lineRule="auto"/>
        <w:jc w:val="both"/>
        <w:rPr>
          <w:rFonts w:ascii="Times New Roman" w:hAnsi="Times New Roman" w:cs="Times New Roman"/>
          <w:sz w:val="22"/>
          <w:szCs w:val="22"/>
        </w:rPr>
      </w:pPr>
    </w:p>
    <w:p w:rsidR="00953D8F" w:rsidRPr="0082509F" w:rsidRDefault="007B68A3" w:rsidP="00953D8F">
      <w:pPr>
        <w:spacing w:line="276" w:lineRule="auto"/>
        <w:jc w:val="both"/>
        <w:rPr>
          <w:rFonts w:ascii="Times New Roman" w:hAnsi="Times New Roman" w:cs="Times New Roman"/>
          <w:i/>
          <w:sz w:val="22"/>
          <w:szCs w:val="22"/>
        </w:rPr>
      </w:pPr>
      <w:bookmarkStart w:id="101" w:name="_Toc326392682"/>
      <w:bookmarkStart w:id="102" w:name="_Toc326557778"/>
      <w:bookmarkStart w:id="103" w:name="_Toc423277113"/>
      <w:r>
        <w:rPr>
          <w:rFonts w:ascii="Times New Roman" w:hAnsi="Times New Roman" w:cs="Times New Roman"/>
          <w:i/>
          <w:sz w:val="22"/>
          <w:szCs w:val="22"/>
        </w:rPr>
        <w:t>3.7</w:t>
      </w:r>
      <w:r w:rsidR="0082509F">
        <w:rPr>
          <w:rFonts w:ascii="Times New Roman" w:hAnsi="Times New Roman" w:cs="Times New Roman"/>
          <w:i/>
          <w:sz w:val="22"/>
          <w:szCs w:val="22"/>
        </w:rPr>
        <w:t xml:space="preserve">. </w:t>
      </w:r>
      <w:r w:rsidR="00953D8F" w:rsidRPr="0082509F">
        <w:rPr>
          <w:rFonts w:ascii="Times New Roman" w:hAnsi="Times New Roman" w:cs="Times New Roman"/>
          <w:i/>
          <w:sz w:val="22"/>
          <w:szCs w:val="22"/>
        </w:rPr>
        <w:t>Ressources financières.</w:t>
      </w:r>
      <w:bookmarkEnd w:id="101"/>
      <w:bookmarkEnd w:id="102"/>
      <w:bookmarkEnd w:id="103"/>
    </w:p>
    <w:p w:rsidR="00953D8F" w:rsidRDefault="0082509F"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Le tableau 8</w:t>
      </w:r>
      <w:r w:rsidR="00953D8F" w:rsidRPr="00D21BEF">
        <w:rPr>
          <w:rFonts w:ascii="Times New Roman" w:hAnsi="Times New Roman" w:cs="Times New Roman"/>
          <w:sz w:val="22"/>
          <w:szCs w:val="22"/>
        </w:rPr>
        <w:t xml:space="preserve"> ci-dessous montre l’évolution des financements au cours des trois dernières années. De façon générale, on note une baisse progressive du financement des activités dans le district. Cela s’explique en partie par la réduction de </w:t>
      </w:r>
      <w:r>
        <w:rPr>
          <w:rFonts w:ascii="Times New Roman" w:hAnsi="Times New Roman" w:cs="Times New Roman"/>
          <w:sz w:val="22"/>
          <w:szCs w:val="22"/>
        </w:rPr>
        <w:t xml:space="preserve">l’appui des partenaires. </w:t>
      </w:r>
      <w:r w:rsidR="00953D8F" w:rsidRPr="00D21BEF">
        <w:rPr>
          <w:rFonts w:ascii="Times New Roman" w:hAnsi="Times New Roman" w:cs="Times New Roman"/>
          <w:sz w:val="22"/>
          <w:szCs w:val="22"/>
        </w:rPr>
        <w:t>Les premières mutuelles</w:t>
      </w:r>
      <w:r>
        <w:rPr>
          <w:rFonts w:ascii="Times New Roman" w:hAnsi="Times New Roman" w:cs="Times New Roman"/>
          <w:sz w:val="22"/>
          <w:szCs w:val="22"/>
        </w:rPr>
        <w:t xml:space="preserve"> de santé mises en place en 2010</w:t>
      </w:r>
      <w:r w:rsidR="00953D8F" w:rsidRPr="00D21BEF">
        <w:rPr>
          <w:rFonts w:ascii="Times New Roman" w:hAnsi="Times New Roman" w:cs="Times New Roman"/>
          <w:sz w:val="22"/>
          <w:szCs w:val="22"/>
        </w:rPr>
        <w:t xml:space="preserve"> ne sont pas fonctionnelles. Avec l’appui des </w:t>
      </w:r>
      <w:r>
        <w:rPr>
          <w:rFonts w:ascii="Times New Roman" w:hAnsi="Times New Roman" w:cs="Times New Roman"/>
          <w:sz w:val="22"/>
          <w:szCs w:val="22"/>
        </w:rPr>
        <w:t>communes</w:t>
      </w:r>
      <w:r w:rsidR="00953D8F" w:rsidRPr="00D21BEF">
        <w:rPr>
          <w:rFonts w:ascii="Times New Roman" w:hAnsi="Times New Roman" w:cs="Times New Roman"/>
          <w:sz w:val="22"/>
          <w:szCs w:val="22"/>
        </w:rPr>
        <w:t xml:space="preserve">, le district a rendu opérationnel un système de partage de coûts dans toutes les </w:t>
      </w:r>
      <w:r>
        <w:rPr>
          <w:rFonts w:ascii="Times New Roman" w:hAnsi="Times New Roman" w:cs="Times New Roman"/>
          <w:sz w:val="22"/>
          <w:szCs w:val="22"/>
        </w:rPr>
        <w:t>FOSA</w:t>
      </w:r>
      <w:r w:rsidR="00953D8F" w:rsidRPr="00D21BEF">
        <w:rPr>
          <w:rFonts w:ascii="Times New Roman" w:hAnsi="Times New Roman" w:cs="Times New Roman"/>
          <w:sz w:val="22"/>
          <w:szCs w:val="22"/>
        </w:rPr>
        <w:t xml:space="preserve"> depuis Avril </w:t>
      </w:r>
      <w:r>
        <w:rPr>
          <w:rFonts w:ascii="Times New Roman" w:hAnsi="Times New Roman" w:cs="Times New Roman"/>
          <w:sz w:val="22"/>
          <w:szCs w:val="22"/>
        </w:rPr>
        <w:t>2015</w:t>
      </w:r>
      <w:r w:rsidR="00953D8F" w:rsidRPr="00D21BEF">
        <w:rPr>
          <w:rFonts w:ascii="Times New Roman" w:hAnsi="Times New Roman" w:cs="Times New Roman"/>
          <w:sz w:val="22"/>
          <w:szCs w:val="22"/>
        </w:rPr>
        <w:t>. Cependant, ce système rencontre des difficultés dues au retard de remboursement par les mairies.</w:t>
      </w:r>
      <w:r>
        <w:rPr>
          <w:rFonts w:ascii="Times New Roman" w:hAnsi="Times New Roman" w:cs="Times New Roman"/>
          <w:sz w:val="22"/>
          <w:szCs w:val="22"/>
        </w:rPr>
        <w:t xml:space="preserve"> </w:t>
      </w:r>
      <w:r w:rsidR="00953D8F" w:rsidRPr="00D21BEF">
        <w:rPr>
          <w:rFonts w:ascii="Times New Roman" w:hAnsi="Times New Roman" w:cs="Times New Roman"/>
          <w:sz w:val="22"/>
          <w:szCs w:val="22"/>
        </w:rPr>
        <w:t>Les subventions des soins obstétricaux et néonataux d’urgence est effective. Les arriérés de remboursement accumulés par l’Etat jouent négativement sur le fonctionnement de certaines formations sanitaires.</w:t>
      </w:r>
    </w:p>
    <w:p w:rsidR="0082509F" w:rsidRDefault="0082509F"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Default="005B2343" w:rsidP="00953D8F">
      <w:pPr>
        <w:spacing w:line="276" w:lineRule="auto"/>
        <w:jc w:val="both"/>
        <w:rPr>
          <w:rFonts w:ascii="Times New Roman" w:hAnsi="Times New Roman" w:cs="Times New Roman"/>
          <w:sz w:val="22"/>
          <w:szCs w:val="22"/>
        </w:rPr>
      </w:pPr>
    </w:p>
    <w:p w:rsidR="005B2343" w:rsidRPr="00D21BEF" w:rsidRDefault="005B2343" w:rsidP="00953D8F">
      <w:pPr>
        <w:spacing w:line="276" w:lineRule="auto"/>
        <w:jc w:val="both"/>
        <w:rPr>
          <w:rFonts w:ascii="Times New Roman" w:hAnsi="Times New Roman" w:cs="Times New Roman"/>
          <w:sz w:val="22"/>
          <w:szCs w:val="22"/>
        </w:rPr>
      </w:pPr>
    </w:p>
    <w:p w:rsidR="00953D8F" w:rsidRPr="0082509F" w:rsidRDefault="00953D8F" w:rsidP="00953D8F">
      <w:pPr>
        <w:spacing w:line="276" w:lineRule="auto"/>
        <w:jc w:val="both"/>
        <w:rPr>
          <w:rFonts w:ascii="Times New Roman" w:hAnsi="Times New Roman" w:cs="Times New Roman"/>
          <w:b/>
          <w:sz w:val="22"/>
          <w:szCs w:val="22"/>
        </w:rPr>
      </w:pPr>
      <w:bookmarkStart w:id="104" w:name="_Toc252842113"/>
      <w:bookmarkStart w:id="105" w:name="_Toc326330395"/>
      <w:r w:rsidRPr="0082509F">
        <w:rPr>
          <w:rFonts w:ascii="Times New Roman" w:hAnsi="Times New Roman" w:cs="Times New Roman"/>
          <w:b/>
          <w:sz w:val="22"/>
          <w:szCs w:val="22"/>
        </w:rPr>
        <w:lastRenderedPageBreak/>
        <w:t xml:space="preserve">Tableau </w:t>
      </w:r>
      <w:r w:rsidR="0082509F" w:rsidRPr="0082509F">
        <w:rPr>
          <w:rFonts w:ascii="Times New Roman" w:hAnsi="Times New Roman" w:cs="Times New Roman"/>
          <w:b/>
          <w:sz w:val="22"/>
          <w:szCs w:val="22"/>
        </w:rPr>
        <w:t>8</w:t>
      </w:r>
      <w:r w:rsidRPr="0082509F">
        <w:rPr>
          <w:rFonts w:ascii="Times New Roman" w:hAnsi="Times New Roman" w:cs="Times New Roman"/>
          <w:b/>
          <w:sz w:val="22"/>
          <w:szCs w:val="22"/>
        </w:rPr>
        <w:t xml:space="preserve"> : Evolution des financements du DS de </w:t>
      </w:r>
      <w:r w:rsidR="003D46BA" w:rsidRPr="0082509F">
        <w:rPr>
          <w:rFonts w:ascii="Times New Roman" w:hAnsi="Times New Roman" w:cs="Times New Roman"/>
          <w:b/>
          <w:sz w:val="22"/>
          <w:szCs w:val="22"/>
        </w:rPr>
        <w:t>Kolanga</w:t>
      </w:r>
      <w:r w:rsidR="0082509F">
        <w:rPr>
          <w:rFonts w:ascii="Times New Roman" w:hAnsi="Times New Roman" w:cs="Times New Roman"/>
          <w:b/>
          <w:sz w:val="22"/>
          <w:szCs w:val="22"/>
        </w:rPr>
        <w:t xml:space="preserve"> de 2019 </w:t>
      </w:r>
      <w:r w:rsidRPr="0082509F">
        <w:rPr>
          <w:rFonts w:ascii="Times New Roman" w:hAnsi="Times New Roman" w:cs="Times New Roman"/>
          <w:b/>
          <w:sz w:val="22"/>
          <w:szCs w:val="22"/>
        </w:rPr>
        <w:t xml:space="preserve">à </w:t>
      </w:r>
      <w:bookmarkEnd w:id="104"/>
      <w:r w:rsidRPr="0082509F">
        <w:rPr>
          <w:rFonts w:ascii="Times New Roman" w:hAnsi="Times New Roman" w:cs="Times New Roman"/>
          <w:b/>
          <w:sz w:val="22"/>
          <w:szCs w:val="22"/>
        </w:rPr>
        <w:t>20</w:t>
      </w:r>
      <w:bookmarkEnd w:id="105"/>
      <w:r w:rsidR="0082509F">
        <w:rPr>
          <w:rFonts w:ascii="Times New Roman" w:hAnsi="Times New Roman" w:cs="Times New Roman"/>
          <w:b/>
          <w:sz w:val="22"/>
          <w:szCs w:val="22"/>
        </w:rPr>
        <w:t>21</w:t>
      </w:r>
    </w:p>
    <w:tbl>
      <w:tblPr>
        <w:tblW w:w="989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559"/>
        <w:gridCol w:w="851"/>
        <w:gridCol w:w="1559"/>
        <w:gridCol w:w="992"/>
        <w:gridCol w:w="1559"/>
        <w:gridCol w:w="822"/>
      </w:tblGrid>
      <w:tr w:rsidR="00953D8F" w:rsidRPr="00D21BEF" w:rsidTr="00287227">
        <w:trPr>
          <w:trHeight w:val="197"/>
        </w:trPr>
        <w:tc>
          <w:tcPr>
            <w:tcW w:w="2552" w:type="dxa"/>
            <w:vMerge w:val="restart"/>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Source de financement</w:t>
            </w:r>
          </w:p>
        </w:tc>
        <w:tc>
          <w:tcPr>
            <w:tcW w:w="2410" w:type="dxa"/>
            <w:gridSpan w:val="2"/>
            <w:tcBorders>
              <w:right w:val="single" w:sz="4" w:space="0" w:color="auto"/>
            </w:tcBorders>
            <w:vAlign w:val="center"/>
          </w:tcPr>
          <w:p w:rsidR="00953D8F" w:rsidRPr="0082509F" w:rsidRDefault="00953D8F" w:rsidP="0082509F">
            <w:pPr>
              <w:jc w:val="center"/>
              <w:rPr>
                <w:rFonts w:ascii="Times New Roman" w:hAnsi="Times New Roman" w:cs="Times New Roman"/>
                <w:b/>
                <w:sz w:val="22"/>
                <w:szCs w:val="22"/>
              </w:rPr>
            </w:pPr>
            <w:r w:rsidRPr="0082509F">
              <w:rPr>
                <w:rFonts w:ascii="Times New Roman" w:hAnsi="Times New Roman" w:cs="Times New Roman"/>
                <w:b/>
                <w:sz w:val="22"/>
                <w:szCs w:val="22"/>
              </w:rPr>
              <w:t>2012</w:t>
            </w:r>
          </w:p>
        </w:tc>
        <w:tc>
          <w:tcPr>
            <w:tcW w:w="2551" w:type="dxa"/>
            <w:gridSpan w:val="2"/>
            <w:tcBorders>
              <w:left w:val="single" w:sz="4" w:space="0" w:color="auto"/>
              <w:bottom w:val="single" w:sz="4" w:space="0" w:color="000000"/>
              <w:right w:val="single" w:sz="12" w:space="0" w:color="auto"/>
            </w:tcBorders>
            <w:vAlign w:val="center"/>
          </w:tcPr>
          <w:p w:rsidR="00953D8F" w:rsidRPr="0082509F" w:rsidRDefault="00953D8F" w:rsidP="0082509F">
            <w:pPr>
              <w:jc w:val="center"/>
              <w:rPr>
                <w:rFonts w:ascii="Times New Roman" w:hAnsi="Times New Roman" w:cs="Times New Roman"/>
                <w:b/>
                <w:sz w:val="22"/>
                <w:szCs w:val="22"/>
              </w:rPr>
            </w:pPr>
            <w:r w:rsidRPr="0082509F">
              <w:rPr>
                <w:rFonts w:ascii="Times New Roman" w:hAnsi="Times New Roman" w:cs="Times New Roman"/>
                <w:b/>
                <w:sz w:val="22"/>
                <w:szCs w:val="22"/>
              </w:rPr>
              <w:t>2013</w:t>
            </w:r>
          </w:p>
        </w:tc>
        <w:tc>
          <w:tcPr>
            <w:tcW w:w="2381" w:type="dxa"/>
            <w:gridSpan w:val="2"/>
            <w:tcBorders>
              <w:left w:val="single" w:sz="12" w:space="0" w:color="auto"/>
              <w:right w:val="single" w:sz="4" w:space="0" w:color="auto"/>
            </w:tcBorders>
            <w:vAlign w:val="center"/>
          </w:tcPr>
          <w:p w:rsidR="00953D8F" w:rsidRPr="0082509F" w:rsidRDefault="00953D8F" w:rsidP="0082509F">
            <w:pPr>
              <w:jc w:val="center"/>
              <w:rPr>
                <w:rFonts w:ascii="Times New Roman" w:hAnsi="Times New Roman" w:cs="Times New Roman"/>
                <w:b/>
                <w:sz w:val="22"/>
                <w:szCs w:val="22"/>
              </w:rPr>
            </w:pPr>
            <w:r w:rsidRPr="0082509F">
              <w:rPr>
                <w:rFonts w:ascii="Times New Roman" w:hAnsi="Times New Roman" w:cs="Times New Roman"/>
                <w:b/>
                <w:sz w:val="22"/>
                <w:szCs w:val="22"/>
              </w:rPr>
              <w:t>2014</w:t>
            </w:r>
          </w:p>
        </w:tc>
      </w:tr>
      <w:tr w:rsidR="00953D8F" w:rsidRPr="00D21BEF" w:rsidTr="00A757CC">
        <w:trPr>
          <w:trHeight w:val="218"/>
        </w:trPr>
        <w:tc>
          <w:tcPr>
            <w:tcW w:w="2552" w:type="dxa"/>
            <w:vMerge/>
            <w:vAlign w:val="center"/>
          </w:tcPr>
          <w:p w:rsidR="00953D8F" w:rsidRPr="0082509F" w:rsidRDefault="00953D8F" w:rsidP="0082509F">
            <w:pPr>
              <w:jc w:val="center"/>
              <w:rPr>
                <w:rFonts w:ascii="Times New Roman" w:hAnsi="Times New Roman" w:cs="Times New Roman"/>
                <w:b/>
                <w:sz w:val="22"/>
                <w:szCs w:val="22"/>
              </w:rPr>
            </w:pPr>
          </w:p>
        </w:tc>
        <w:tc>
          <w:tcPr>
            <w:tcW w:w="1559" w:type="dxa"/>
            <w:tcBorders>
              <w:right w:val="single" w:sz="2" w:space="0" w:color="auto"/>
            </w:tcBorders>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Montant alloué</w:t>
            </w:r>
            <w:r w:rsidR="00A757CC">
              <w:rPr>
                <w:rFonts w:ascii="Times New Roman" w:hAnsi="Times New Roman" w:cs="Times New Roman"/>
                <w:b/>
                <w:sz w:val="22"/>
                <w:szCs w:val="22"/>
              </w:rPr>
              <w:t xml:space="preserve"> (CFA)</w:t>
            </w:r>
          </w:p>
        </w:tc>
        <w:tc>
          <w:tcPr>
            <w:tcW w:w="851" w:type="dxa"/>
            <w:tcBorders>
              <w:left w:val="single" w:sz="2" w:space="0" w:color="auto"/>
              <w:right w:val="single" w:sz="4" w:space="0" w:color="auto"/>
            </w:tcBorders>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w:t>
            </w:r>
          </w:p>
        </w:tc>
        <w:tc>
          <w:tcPr>
            <w:tcW w:w="1559" w:type="dxa"/>
            <w:tcBorders>
              <w:left w:val="single" w:sz="4" w:space="0" w:color="auto"/>
              <w:right w:val="single" w:sz="4" w:space="0" w:color="auto"/>
            </w:tcBorders>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Montant alloué</w:t>
            </w:r>
            <w:r w:rsidR="00A757CC">
              <w:rPr>
                <w:rFonts w:ascii="Times New Roman" w:hAnsi="Times New Roman" w:cs="Times New Roman"/>
                <w:b/>
                <w:sz w:val="22"/>
                <w:szCs w:val="22"/>
              </w:rPr>
              <w:t xml:space="preserve"> (CFA)</w:t>
            </w:r>
          </w:p>
        </w:tc>
        <w:tc>
          <w:tcPr>
            <w:tcW w:w="992" w:type="dxa"/>
            <w:tcBorders>
              <w:left w:val="single" w:sz="4" w:space="0" w:color="auto"/>
              <w:right w:val="single" w:sz="4" w:space="0" w:color="auto"/>
            </w:tcBorders>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w:t>
            </w:r>
          </w:p>
        </w:tc>
        <w:tc>
          <w:tcPr>
            <w:tcW w:w="1559" w:type="dxa"/>
            <w:tcBorders>
              <w:left w:val="single" w:sz="4" w:space="0" w:color="auto"/>
              <w:right w:val="single" w:sz="4" w:space="0" w:color="auto"/>
            </w:tcBorders>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Montant alloué</w:t>
            </w:r>
            <w:r w:rsidR="00A757CC">
              <w:rPr>
                <w:rFonts w:ascii="Times New Roman" w:hAnsi="Times New Roman" w:cs="Times New Roman"/>
                <w:b/>
                <w:sz w:val="22"/>
                <w:szCs w:val="22"/>
              </w:rPr>
              <w:t xml:space="preserve"> (CFA)</w:t>
            </w:r>
          </w:p>
        </w:tc>
        <w:tc>
          <w:tcPr>
            <w:tcW w:w="822" w:type="dxa"/>
            <w:tcBorders>
              <w:right w:val="single" w:sz="4" w:space="0" w:color="auto"/>
            </w:tcBorders>
            <w:vAlign w:val="center"/>
          </w:tcPr>
          <w:p w:rsidR="00953D8F" w:rsidRPr="0082509F" w:rsidRDefault="00953D8F" w:rsidP="0082509F">
            <w:pPr>
              <w:snapToGrid w:val="0"/>
              <w:jc w:val="center"/>
              <w:rPr>
                <w:rFonts w:ascii="Times New Roman" w:hAnsi="Times New Roman" w:cs="Times New Roman"/>
                <w:b/>
                <w:sz w:val="22"/>
                <w:szCs w:val="22"/>
              </w:rPr>
            </w:pPr>
            <w:r w:rsidRPr="0082509F">
              <w:rPr>
                <w:rFonts w:ascii="Times New Roman" w:hAnsi="Times New Roman" w:cs="Times New Roman"/>
                <w:b/>
                <w:sz w:val="22"/>
                <w:szCs w:val="22"/>
              </w:rPr>
              <w:t>%</w:t>
            </w:r>
          </w:p>
        </w:tc>
      </w:tr>
      <w:tr w:rsidR="00953D8F" w:rsidRPr="00D21BEF" w:rsidTr="00A757CC">
        <w:trPr>
          <w:trHeight w:val="67"/>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Etat</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95 272 000</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28</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64 127 000</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19,49</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62 936 000</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16 ,27</w:t>
            </w:r>
          </w:p>
        </w:tc>
      </w:tr>
      <w:tr w:rsidR="00953D8F" w:rsidRPr="00D21BEF" w:rsidTr="007B68A3">
        <w:trPr>
          <w:trHeight w:val="186"/>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Projet Santé Communes</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38 798 553</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11,38</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32 125 690</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9,76</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66 964 314</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17,31</w:t>
            </w:r>
          </w:p>
        </w:tc>
      </w:tr>
      <w:tr w:rsidR="00953D8F" w:rsidRPr="00D21BEF" w:rsidTr="007B68A3">
        <w:trPr>
          <w:trHeight w:val="67"/>
        </w:trPr>
        <w:tc>
          <w:tcPr>
            <w:tcW w:w="2552" w:type="dxa"/>
            <w:vAlign w:val="center"/>
          </w:tcPr>
          <w:p w:rsidR="00953D8F" w:rsidRPr="007B68A3" w:rsidRDefault="00953D8F"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UNICEF</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17 762 700</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5,21</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14 639 850</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4,45</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14 180 500</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3,66</w:t>
            </w:r>
          </w:p>
        </w:tc>
      </w:tr>
      <w:tr w:rsidR="00953D8F" w:rsidRPr="00D21BEF" w:rsidTr="007B68A3">
        <w:trPr>
          <w:trHeight w:val="67"/>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UNFPA</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2 971 425</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0,87</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4 855 755</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1,48</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4 855 325</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1,25</w:t>
            </w:r>
          </w:p>
        </w:tc>
      </w:tr>
      <w:tr w:rsidR="00953D8F" w:rsidRPr="00D21BEF" w:rsidTr="007B68A3">
        <w:trPr>
          <w:trHeight w:val="67"/>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Projet Appui Vaccination</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1 204 760</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0,35</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1 988 000</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0,60</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5 780 020</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1,49</w:t>
            </w:r>
          </w:p>
        </w:tc>
      </w:tr>
      <w:tr w:rsidR="00953D8F" w:rsidRPr="00D21BEF" w:rsidTr="007B68A3">
        <w:trPr>
          <w:trHeight w:val="67"/>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Etat</w:t>
            </w:r>
            <w:r w:rsidR="00953D8F" w:rsidRPr="007B68A3">
              <w:rPr>
                <w:rFonts w:ascii="Times New Roman" w:hAnsi="Times New Roman" w:cs="Times New Roman"/>
                <w:sz w:val="20"/>
                <w:szCs w:val="20"/>
              </w:rPr>
              <w:t xml:space="preserve"> (SONU et gratuités)</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20 636445</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6,04</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31 885 889</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9,69</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32 997 416</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8,53</w:t>
            </w:r>
          </w:p>
        </w:tc>
      </w:tr>
      <w:tr w:rsidR="00953D8F" w:rsidRPr="00D21BEF" w:rsidTr="007B68A3">
        <w:trPr>
          <w:trHeight w:val="93"/>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 xml:space="preserve">Fonds </w:t>
            </w:r>
            <w:r w:rsidR="00287227" w:rsidRPr="007B68A3">
              <w:rPr>
                <w:rFonts w:ascii="Times New Roman" w:hAnsi="Times New Roman" w:cs="Times New Roman"/>
                <w:sz w:val="20"/>
                <w:szCs w:val="20"/>
              </w:rPr>
              <w:t>Propres</w:t>
            </w:r>
            <w:r w:rsidR="002A680C">
              <w:rPr>
                <w:rFonts w:ascii="Times New Roman" w:hAnsi="Times New Roman" w:cs="Times New Roman"/>
                <w:sz w:val="20"/>
                <w:szCs w:val="20"/>
              </w:rPr>
              <w:t xml:space="preserve"> District</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121 989 230</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35,77</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131 297 620</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39,90</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148 762 204</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38,47</w:t>
            </w:r>
          </w:p>
        </w:tc>
      </w:tr>
      <w:tr w:rsidR="00953D8F" w:rsidRPr="00D21BEF" w:rsidTr="007B68A3">
        <w:trPr>
          <w:trHeight w:val="67"/>
        </w:trPr>
        <w:tc>
          <w:tcPr>
            <w:tcW w:w="2552" w:type="dxa"/>
            <w:vAlign w:val="center"/>
          </w:tcPr>
          <w:p w:rsidR="00953D8F" w:rsidRPr="007B68A3" w:rsidRDefault="00953D8F"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PAM</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1 540773</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0,45</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2 865 728</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0,87</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2 037 292</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0,52</w:t>
            </w:r>
          </w:p>
        </w:tc>
      </w:tr>
      <w:tr w:rsidR="00953D8F" w:rsidRPr="00D21BEF" w:rsidTr="00A757CC">
        <w:trPr>
          <w:trHeight w:val="402"/>
        </w:trPr>
        <w:tc>
          <w:tcPr>
            <w:tcW w:w="2552" w:type="dxa"/>
            <w:vAlign w:val="center"/>
          </w:tcPr>
          <w:p w:rsidR="00953D8F" w:rsidRPr="007B68A3" w:rsidRDefault="004C3C99"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Programme Maladies Tropicales Négligées</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1 127600</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0,33</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0,00</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0</w:t>
            </w:r>
          </w:p>
        </w:tc>
      </w:tr>
      <w:tr w:rsidR="00953D8F" w:rsidRPr="00D21BEF" w:rsidTr="00A757CC">
        <w:trPr>
          <w:trHeight w:val="67"/>
        </w:trPr>
        <w:tc>
          <w:tcPr>
            <w:tcW w:w="2552" w:type="dxa"/>
            <w:vAlign w:val="center"/>
          </w:tcPr>
          <w:p w:rsidR="00953D8F" w:rsidRPr="007B68A3" w:rsidRDefault="00953D8F" w:rsidP="00953D8F">
            <w:pPr>
              <w:spacing w:line="276" w:lineRule="auto"/>
              <w:jc w:val="both"/>
              <w:rPr>
                <w:rFonts w:ascii="Times New Roman" w:hAnsi="Times New Roman" w:cs="Times New Roman"/>
                <w:sz w:val="20"/>
                <w:szCs w:val="20"/>
              </w:rPr>
            </w:pPr>
            <w:r w:rsidRPr="007B68A3">
              <w:rPr>
                <w:rFonts w:ascii="Times New Roman" w:hAnsi="Times New Roman" w:cs="Times New Roman"/>
                <w:sz w:val="20"/>
                <w:szCs w:val="20"/>
              </w:rPr>
              <w:t>OMS</w:t>
            </w:r>
          </w:p>
        </w:tc>
        <w:tc>
          <w:tcPr>
            <w:tcW w:w="1559" w:type="dxa"/>
            <w:tcBorders>
              <w:right w:val="single" w:sz="2"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38 355 690</w:t>
            </w:r>
          </w:p>
        </w:tc>
        <w:tc>
          <w:tcPr>
            <w:tcW w:w="851" w:type="dxa"/>
            <w:tcBorders>
              <w:left w:val="single" w:sz="2"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11,25</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41 571 104</w:t>
            </w:r>
          </w:p>
        </w:tc>
        <w:tc>
          <w:tcPr>
            <w:tcW w:w="992"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12,63</w:t>
            </w:r>
          </w:p>
        </w:tc>
        <w:tc>
          <w:tcPr>
            <w:tcW w:w="1559" w:type="dxa"/>
            <w:tcBorders>
              <w:left w:val="single" w:sz="4" w:space="0" w:color="auto"/>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48 111 724</w:t>
            </w:r>
          </w:p>
        </w:tc>
        <w:tc>
          <w:tcPr>
            <w:tcW w:w="822" w:type="dxa"/>
            <w:tcBorders>
              <w:right w:val="single" w:sz="4" w:space="0" w:color="auto"/>
            </w:tcBorders>
            <w:vAlign w:val="center"/>
          </w:tcPr>
          <w:p w:rsidR="00953D8F" w:rsidRPr="007B68A3" w:rsidRDefault="00953D8F" w:rsidP="004C3C99">
            <w:pPr>
              <w:spacing w:line="276" w:lineRule="auto"/>
              <w:jc w:val="center"/>
              <w:rPr>
                <w:rFonts w:ascii="Times New Roman" w:hAnsi="Times New Roman" w:cs="Times New Roman"/>
                <w:sz w:val="20"/>
                <w:szCs w:val="20"/>
              </w:rPr>
            </w:pPr>
            <w:r w:rsidRPr="007B68A3">
              <w:rPr>
                <w:rFonts w:ascii="Times New Roman" w:hAnsi="Times New Roman" w:cs="Times New Roman"/>
                <w:sz w:val="20"/>
                <w:szCs w:val="20"/>
              </w:rPr>
              <w:t>12,44</w:t>
            </w:r>
          </w:p>
        </w:tc>
      </w:tr>
      <w:tr w:rsidR="00953D8F" w:rsidRPr="00D21BEF" w:rsidTr="00A757CC">
        <w:trPr>
          <w:trHeight w:val="67"/>
        </w:trPr>
        <w:tc>
          <w:tcPr>
            <w:tcW w:w="2552" w:type="dxa"/>
            <w:vAlign w:val="center"/>
          </w:tcPr>
          <w:p w:rsidR="00953D8F" w:rsidRPr="004C3C99" w:rsidRDefault="00953D8F" w:rsidP="00953D8F">
            <w:pPr>
              <w:spacing w:line="276" w:lineRule="auto"/>
              <w:jc w:val="both"/>
              <w:rPr>
                <w:rFonts w:ascii="Times New Roman" w:hAnsi="Times New Roman" w:cs="Times New Roman"/>
                <w:b/>
                <w:sz w:val="22"/>
                <w:szCs w:val="22"/>
              </w:rPr>
            </w:pPr>
            <w:r w:rsidRPr="004C3C99">
              <w:rPr>
                <w:rFonts w:ascii="Times New Roman" w:hAnsi="Times New Roman" w:cs="Times New Roman"/>
                <w:b/>
                <w:sz w:val="22"/>
                <w:szCs w:val="22"/>
              </w:rPr>
              <w:t>TOTAL</w:t>
            </w:r>
          </w:p>
        </w:tc>
        <w:tc>
          <w:tcPr>
            <w:tcW w:w="1559" w:type="dxa"/>
            <w:tcBorders>
              <w:right w:val="single" w:sz="2" w:space="0" w:color="auto"/>
            </w:tcBorders>
            <w:vAlign w:val="center"/>
          </w:tcPr>
          <w:p w:rsidR="00953D8F" w:rsidRPr="004C3C99" w:rsidRDefault="00953D8F" w:rsidP="004C3C99">
            <w:pPr>
              <w:spacing w:line="276" w:lineRule="auto"/>
              <w:jc w:val="center"/>
              <w:rPr>
                <w:rFonts w:ascii="Times New Roman" w:hAnsi="Times New Roman" w:cs="Times New Roman"/>
                <w:b/>
                <w:sz w:val="22"/>
                <w:szCs w:val="22"/>
              </w:rPr>
            </w:pPr>
            <w:r w:rsidRPr="004C3C99">
              <w:rPr>
                <w:rFonts w:ascii="Times New Roman" w:hAnsi="Times New Roman" w:cs="Times New Roman"/>
                <w:b/>
                <w:sz w:val="22"/>
                <w:szCs w:val="22"/>
              </w:rPr>
              <w:t>341 054 676</w:t>
            </w:r>
          </w:p>
        </w:tc>
        <w:tc>
          <w:tcPr>
            <w:tcW w:w="851" w:type="dxa"/>
            <w:tcBorders>
              <w:left w:val="single" w:sz="2" w:space="0" w:color="auto"/>
              <w:right w:val="single" w:sz="4" w:space="0" w:color="auto"/>
            </w:tcBorders>
            <w:vAlign w:val="center"/>
          </w:tcPr>
          <w:p w:rsidR="00953D8F" w:rsidRPr="004C3C99" w:rsidRDefault="00953D8F" w:rsidP="004C3C99">
            <w:pPr>
              <w:spacing w:line="276" w:lineRule="auto"/>
              <w:jc w:val="center"/>
              <w:rPr>
                <w:rFonts w:ascii="Times New Roman" w:hAnsi="Times New Roman" w:cs="Times New Roman"/>
                <w:b/>
                <w:sz w:val="22"/>
                <w:szCs w:val="22"/>
              </w:rPr>
            </w:pPr>
            <w:r w:rsidRPr="004C3C99">
              <w:rPr>
                <w:rFonts w:ascii="Times New Roman" w:hAnsi="Times New Roman" w:cs="Times New Roman"/>
                <w:b/>
                <w:sz w:val="22"/>
                <w:szCs w:val="22"/>
              </w:rPr>
              <w:t>100</w:t>
            </w:r>
          </w:p>
        </w:tc>
        <w:tc>
          <w:tcPr>
            <w:tcW w:w="1559" w:type="dxa"/>
            <w:tcBorders>
              <w:left w:val="single" w:sz="4" w:space="0" w:color="auto"/>
              <w:right w:val="single" w:sz="4" w:space="0" w:color="auto"/>
            </w:tcBorders>
            <w:vAlign w:val="center"/>
          </w:tcPr>
          <w:p w:rsidR="00953D8F" w:rsidRPr="004C3C99" w:rsidRDefault="00953D8F" w:rsidP="004C3C99">
            <w:pPr>
              <w:spacing w:line="276" w:lineRule="auto"/>
              <w:jc w:val="center"/>
              <w:rPr>
                <w:rFonts w:ascii="Times New Roman" w:hAnsi="Times New Roman" w:cs="Times New Roman"/>
                <w:b/>
                <w:sz w:val="22"/>
                <w:szCs w:val="22"/>
              </w:rPr>
            </w:pPr>
            <w:r w:rsidRPr="004C3C99">
              <w:rPr>
                <w:rFonts w:ascii="Times New Roman" w:hAnsi="Times New Roman" w:cs="Times New Roman"/>
                <w:b/>
                <w:sz w:val="22"/>
                <w:szCs w:val="22"/>
              </w:rPr>
              <w:t>329 036 136</w:t>
            </w:r>
          </w:p>
        </w:tc>
        <w:tc>
          <w:tcPr>
            <w:tcW w:w="992" w:type="dxa"/>
            <w:tcBorders>
              <w:left w:val="single" w:sz="4" w:space="0" w:color="auto"/>
              <w:right w:val="single" w:sz="4" w:space="0" w:color="auto"/>
            </w:tcBorders>
            <w:vAlign w:val="center"/>
          </w:tcPr>
          <w:p w:rsidR="00953D8F" w:rsidRPr="004C3C99" w:rsidRDefault="00953D8F" w:rsidP="004C3C99">
            <w:pPr>
              <w:spacing w:line="276" w:lineRule="auto"/>
              <w:jc w:val="center"/>
              <w:rPr>
                <w:rFonts w:ascii="Times New Roman" w:hAnsi="Times New Roman" w:cs="Times New Roman"/>
                <w:b/>
                <w:sz w:val="22"/>
                <w:szCs w:val="22"/>
              </w:rPr>
            </w:pPr>
            <w:r w:rsidRPr="004C3C99">
              <w:rPr>
                <w:rFonts w:ascii="Times New Roman" w:hAnsi="Times New Roman" w:cs="Times New Roman"/>
                <w:b/>
                <w:sz w:val="22"/>
                <w:szCs w:val="22"/>
              </w:rPr>
              <w:t>100</w:t>
            </w:r>
          </w:p>
        </w:tc>
        <w:tc>
          <w:tcPr>
            <w:tcW w:w="1559" w:type="dxa"/>
            <w:tcBorders>
              <w:left w:val="single" w:sz="4" w:space="0" w:color="auto"/>
              <w:right w:val="single" w:sz="4" w:space="0" w:color="auto"/>
            </w:tcBorders>
            <w:vAlign w:val="center"/>
          </w:tcPr>
          <w:p w:rsidR="00953D8F" w:rsidRPr="004C3C99" w:rsidRDefault="00953D8F" w:rsidP="004C3C99">
            <w:pPr>
              <w:spacing w:line="276" w:lineRule="auto"/>
              <w:jc w:val="center"/>
              <w:rPr>
                <w:rFonts w:ascii="Times New Roman" w:hAnsi="Times New Roman" w:cs="Times New Roman"/>
                <w:b/>
                <w:sz w:val="22"/>
                <w:szCs w:val="22"/>
              </w:rPr>
            </w:pPr>
            <w:r w:rsidRPr="004C3C99">
              <w:rPr>
                <w:rFonts w:ascii="Times New Roman" w:hAnsi="Times New Roman" w:cs="Times New Roman"/>
                <w:b/>
                <w:sz w:val="22"/>
                <w:szCs w:val="22"/>
              </w:rPr>
              <w:t>386 631 795</w:t>
            </w:r>
          </w:p>
        </w:tc>
        <w:tc>
          <w:tcPr>
            <w:tcW w:w="822" w:type="dxa"/>
            <w:tcBorders>
              <w:right w:val="single" w:sz="4" w:space="0" w:color="auto"/>
            </w:tcBorders>
            <w:vAlign w:val="center"/>
          </w:tcPr>
          <w:p w:rsidR="00953D8F" w:rsidRPr="004C3C99" w:rsidRDefault="00953D8F" w:rsidP="004C3C99">
            <w:pPr>
              <w:spacing w:line="276" w:lineRule="auto"/>
              <w:jc w:val="center"/>
              <w:rPr>
                <w:rFonts w:ascii="Times New Roman" w:hAnsi="Times New Roman" w:cs="Times New Roman"/>
                <w:b/>
                <w:sz w:val="22"/>
                <w:szCs w:val="22"/>
              </w:rPr>
            </w:pPr>
            <w:r w:rsidRPr="004C3C99">
              <w:rPr>
                <w:rFonts w:ascii="Times New Roman" w:hAnsi="Times New Roman" w:cs="Times New Roman"/>
                <w:b/>
                <w:sz w:val="22"/>
                <w:szCs w:val="22"/>
              </w:rPr>
              <w:t>100</w:t>
            </w:r>
          </w:p>
        </w:tc>
      </w:tr>
    </w:tbl>
    <w:p w:rsidR="004C3C99" w:rsidRDefault="004C3C99" w:rsidP="00953D8F">
      <w:pPr>
        <w:spacing w:line="276" w:lineRule="auto"/>
        <w:jc w:val="both"/>
        <w:rPr>
          <w:rFonts w:ascii="Times New Roman" w:hAnsi="Times New Roman" w:cs="Times New Roman"/>
          <w:sz w:val="22"/>
          <w:szCs w:val="22"/>
        </w:rPr>
      </w:pP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 niveau de financement du district varie d’une année à une autre en dents de scie. On note qu’au niveau du budget de l’Etat, l’évolution du financement est en nette régression. Les fonds propres demeurent la principale source de financement du district.</w:t>
      </w:r>
    </w:p>
    <w:p w:rsidR="00832634" w:rsidRPr="00D21BEF" w:rsidRDefault="00832634" w:rsidP="00953D8F">
      <w:pPr>
        <w:spacing w:line="276" w:lineRule="auto"/>
        <w:jc w:val="both"/>
        <w:rPr>
          <w:rFonts w:ascii="Times New Roman" w:hAnsi="Times New Roman" w:cs="Times New Roman"/>
          <w:sz w:val="22"/>
          <w:szCs w:val="22"/>
        </w:rPr>
      </w:pPr>
      <w:bookmarkStart w:id="106" w:name="_Toc423277114"/>
    </w:p>
    <w:p w:rsidR="00287227" w:rsidRPr="00287227" w:rsidRDefault="00287227" w:rsidP="00A757CC">
      <w:pPr>
        <w:spacing w:after="120" w:line="276" w:lineRule="auto"/>
        <w:jc w:val="both"/>
        <w:rPr>
          <w:rFonts w:ascii="Times New Roman" w:hAnsi="Times New Roman" w:cs="Times New Roman"/>
          <w:b/>
        </w:rPr>
      </w:pPr>
      <w:r>
        <w:rPr>
          <w:rFonts w:ascii="Times New Roman" w:hAnsi="Times New Roman" w:cs="Times New Roman"/>
          <w:b/>
        </w:rPr>
        <w:t xml:space="preserve">4. </w:t>
      </w:r>
      <w:r w:rsidR="00953D8F" w:rsidRPr="00287227">
        <w:rPr>
          <w:rFonts w:ascii="Times New Roman" w:hAnsi="Times New Roman" w:cs="Times New Roman"/>
          <w:b/>
        </w:rPr>
        <w:t>Analyse des prestations de service</w:t>
      </w:r>
      <w:bookmarkEnd w:id="106"/>
    </w:p>
    <w:p w:rsidR="00953D8F" w:rsidRPr="00590EEB" w:rsidRDefault="007B68A3"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4</w:t>
      </w:r>
      <w:bookmarkStart w:id="107" w:name="_Toc284411741"/>
      <w:bookmarkStart w:id="108" w:name="_Toc316331260"/>
      <w:bookmarkStart w:id="109" w:name="_Toc316331321"/>
      <w:bookmarkStart w:id="110" w:name="_Toc316331381"/>
      <w:bookmarkStart w:id="111" w:name="_Toc316331524"/>
      <w:bookmarkStart w:id="112" w:name="_Toc316331584"/>
      <w:bookmarkStart w:id="113" w:name="_Toc316331868"/>
      <w:bookmarkStart w:id="114" w:name="_Toc316332046"/>
      <w:bookmarkStart w:id="115" w:name="_Toc316332147"/>
      <w:bookmarkStart w:id="116" w:name="_Toc326392686"/>
      <w:bookmarkStart w:id="117" w:name="_Toc326557781"/>
      <w:r w:rsidR="00590EEB">
        <w:rPr>
          <w:rFonts w:ascii="Times New Roman" w:hAnsi="Times New Roman" w:cs="Times New Roman"/>
          <w:i/>
          <w:sz w:val="22"/>
          <w:szCs w:val="22"/>
        </w:rPr>
        <w:t>.1 Consultations</w:t>
      </w:r>
      <w:r w:rsidR="00953D8F" w:rsidRPr="00590EEB">
        <w:rPr>
          <w:rFonts w:ascii="Times New Roman" w:hAnsi="Times New Roman" w:cs="Times New Roman"/>
          <w:i/>
          <w:sz w:val="22"/>
          <w:szCs w:val="22"/>
        </w:rPr>
        <w:t xml:space="preserve"> curatives</w:t>
      </w:r>
      <w:bookmarkEnd w:id="107"/>
      <w:bookmarkEnd w:id="108"/>
      <w:bookmarkEnd w:id="109"/>
      <w:bookmarkEnd w:id="110"/>
      <w:bookmarkEnd w:id="111"/>
      <w:bookmarkEnd w:id="112"/>
      <w:bookmarkEnd w:id="113"/>
      <w:bookmarkEnd w:id="114"/>
      <w:bookmarkEnd w:id="115"/>
      <w:bookmarkEnd w:id="116"/>
      <w:bookmarkEnd w:id="117"/>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L’utilisation des services de santé est faible en général. En 20</w:t>
      </w:r>
      <w:r w:rsidR="00590EEB">
        <w:rPr>
          <w:rFonts w:ascii="Times New Roman" w:hAnsi="Times New Roman" w:cs="Times New Roman"/>
          <w:sz w:val="22"/>
          <w:szCs w:val="22"/>
        </w:rPr>
        <w:t>21</w:t>
      </w:r>
      <w:r w:rsidRPr="00D21BEF">
        <w:rPr>
          <w:rFonts w:ascii="Times New Roman" w:hAnsi="Times New Roman" w:cs="Times New Roman"/>
          <w:sz w:val="22"/>
          <w:szCs w:val="22"/>
        </w:rPr>
        <w:t xml:space="preserve">, le nombre de nouveau </w:t>
      </w:r>
      <w:r w:rsidR="00590EEB">
        <w:rPr>
          <w:rFonts w:ascii="Times New Roman" w:hAnsi="Times New Roman" w:cs="Times New Roman"/>
          <w:sz w:val="22"/>
          <w:szCs w:val="22"/>
        </w:rPr>
        <w:t>contact par habitant est de 0,40</w:t>
      </w:r>
      <w:r w:rsidRPr="00D21BEF">
        <w:rPr>
          <w:rFonts w:ascii="Times New Roman" w:hAnsi="Times New Roman" w:cs="Times New Roman"/>
          <w:sz w:val="22"/>
          <w:szCs w:val="22"/>
        </w:rPr>
        <w:t xml:space="preserve">. Chez les enfants de moins de cinq </w:t>
      </w:r>
      <w:r w:rsidR="00590EEB" w:rsidRPr="00D21BEF">
        <w:rPr>
          <w:rFonts w:ascii="Times New Roman" w:hAnsi="Times New Roman" w:cs="Times New Roman"/>
          <w:sz w:val="22"/>
          <w:szCs w:val="22"/>
        </w:rPr>
        <w:t>ans, ce</w:t>
      </w:r>
      <w:r w:rsidR="00590EEB">
        <w:rPr>
          <w:rFonts w:ascii="Times New Roman" w:hAnsi="Times New Roman" w:cs="Times New Roman"/>
          <w:sz w:val="22"/>
          <w:szCs w:val="22"/>
        </w:rPr>
        <w:t xml:space="preserve"> nombre est de 0,75</w:t>
      </w:r>
      <w:r w:rsidRPr="00D21BEF">
        <w:rPr>
          <w:rFonts w:ascii="Times New Roman" w:hAnsi="Times New Roman" w:cs="Times New Roman"/>
          <w:sz w:val="22"/>
          <w:szCs w:val="22"/>
        </w:rPr>
        <w:t>. Il reste faible par rapport à l’objectif national qui est de 2 contacts par enfants de moins de cinq ans et par an. Le faible taux d’utilisation des services de soins curatifs est en grande partie lié à l’inaccessibilité géographique, financière et aux pesanteurs socio-culturelles.</w:t>
      </w:r>
      <w:r w:rsidR="00590EEB">
        <w:rPr>
          <w:rFonts w:ascii="Times New Roman" w:hAnsi="Times New Roman" w:cs="Times New Roman"/>
          <w:sz w:val="22"/>
          <w:szCs w:val="22"/>
        </w:rPr>
        <w:t xml:space="preserve"> </w:t>
      </w:r>
      <w:r w:rsidRPr="00D21BEF">
        <w:rPr>
          <w:rFonts w:ascii="Times New Roman" w:hAnsi="Times New Roman" w:cs="Times New Roman"/>
          <w:sz w:val="22"/>
          <w:szCs w:val="22"/>
        </w:rPr>
        <w:t>Les enfants de moins de cinq ans vus en consult</w:t>
      </w:r>
      <w:r w:rsidR="00590EEB">
        <w:rPr>
          <w:rFonts w:ascii="Times New Roman" w:hAnsi="Times New Roman" w:cs="Times New Roman"/>
          <w:sz w:val="22"/>
          <w:szCs w:val="22"/>
        </w:rPr>
        <w:t>ation curative ont représenté 28,50</w:t>
      </w:r>
      <w:r w:rsidRPr="00D21BEF">
        <w:rPr>
          <w:rFonts w:ascii="Times New Roman" w:hAnsi="Times New Roman" w:cs="Times New Roman"/>
          <w:sz w:val="22"/>
          <w:szCs w:val="22"/>
        </w:rPr>
        <w:t>% des nouveaux consultant</w:t>
      </w:r>
      <w:r w:rsidR="00590EEB">
        <w:rPr>
          <w:rFonts w:ascii="Times New Roman" w:hAnsi="Times New Roman" w:cs="Times New Roman"/>
          <w:sz w:val="22"/>
          <w:szCs w:val="22"/>
        </w:rPr>
        <w:t>s en 2021</w:t>
      </w:r>
      <w:r w:rsidRPr="00D21BEF">
        <w:rPr>
          <w:rFonts w:ascii="Times New Roman" w:hAnsi="Times New Roman" w:cs="Times New Roman"/>
          <w:sz w:val="22"/>
          <w:szCs w:val="22"/>
        </w:rPr>
        <w:t>.</w:t>
      </w:r>
    </w:p>
    <w:p w:rsidR="00590EEB" w:rsidRDefault="00590EEB" w:rsidP="00953D8F">
      <w:pPr>
        <w:spacing w:line="276" w:lineRule="auto"/>
        <w:jc w:val="both"/>
        <w:rPr>
          <w:rFonts w:ascii="Times New Roman" w:hAnsi="Times New Roman" w:cs="Times New Roman"/>
          <w:i/>
          <w:sz w:val="22"/>
          <w:szCs w:val="22"/>
        </w:rPr>
      </w:pPr>
    </w:p>
    <w:p w:rsidR="00953D8F" w:rsidRPr="00590EEB" w:rsidRDefault="00590EEB"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4.2. </w:t>
      </w:r>
      <w:r w:rsidR="00953D8F" w:rsidRPr="00590EEB">
        <w:rPr>
          <w:rFonts w:ascii="Times New Roman" w:hAnsi="Times New Roman" w:cs="Times New Roman"/>
          <w:i/>
          <w:sz w:val="22"/>
          <w:szCs w:val="22"/>
        </w:rPr>
        <w:t xml:space="preserve">Accouchements </w:t>
      </w:r>
    </w:p>
    <w:p w:rsidR="00C251BB"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 taux des accouchements assistés par un personnel qualifié s’améliore d’année en année depuis la mise en œuvre de la subvention des SONU et du système de partage de</w:t>
      </w:r>
      <w:r w:rsidR="00590EEB">
        <w:rPr>
          <w:rFonts w:ascii="Times New Roman" w:hAnsi="Times New Roman" w:cs="Times New Roman"/>
          <w:sz w:val="22"/>
          <w:szCs w:val="22"/>
        </w:rPr>
        <w:t xml:space="preserve"> coûts. Il est de 35,25% en 2019, 38</w:t>
      </w:r>
      <w:r w:rsidR="00C251BB">
        <w:rPr>
          <w:rFonts w:ascii="Times New Roman" w:hAnsi="Times New Roman" w:cs="Times New Roman"/>
          <w:sz w:val="22"/>
          <w:szCs w:val="22"/>
        </w:rPr>
        <w:t xml:space="preserve">,33% en 2020 et 45,87% en 202. Cependant, </w:t>
      </w:r>
      <w:r w:rsidRPr="00D21BEF">
        <w:rPr>
          <w:rFonts w:ascii="Times New Roman" w:hAnsi="Times New Roman" w:cs="Times New Roman"/>
          <w:sz w:val="22"/>
          <w:szCs w:val="22"/>
        </w:rPr>
        <w:t xml:space="preserve">ce taux reste faible par rapport à l’objectif national de 85%. </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Les facteurs expliquant cette situation sont essentiellement l’inaccessibilité géographique, accentuée par les pesanteurs socioculturelles et l’insuffisance dans la mise en œuvre du système de partage des coûts.</w:t>
      </w:r>
    </w:p>
    <w:p w:rsidR="00A757CC" w:rsidRDefault="00A757CC" w:rsidP="00953D8F">
      <w:pPr>
        <w:spacing w:line="276" w:lineRule="auto"/>
        <w:jc w:val="both"/>
        <w:rPr>
          <w:rFonts w:ascii="Times New Roman" w:hAnsi="Times New Roman" w:cs="Times New Roman"/>
          <w:i/>
          <w:sz w:val="22"/>
          <w:szCs w:val="22"/>
        </w:rPr>
      </w:pPr>
    </w:p>
    <w:p w:rsidR="00953D8F" w:rsidRPr="00C251BB" w:rsidRDefault="00C251BB"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4.3. </w:t>
      </w:r>
      <w:r w:rsidR="00953D8F" w:rsidRPr="00C251BB">
        <w:rPr>
          <w:rFonts w:ascii="Times New Roman" w:hAnsi="Times New Roman" w:cs="Times New Roman"/>
          <w:i/>
          <w:sz w:val="22"/>
          <w:szCs w:val="22"/>
        </w:rPr>
        <w:t>Vaccination</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La vaccination est une activité continue qui se réalise dans toutes les </w:t>
      </w:r>
      <w:r w:rsidR="00C251BB">
        <w:rPr>
          <w:rFonts w:ascii="Times New Roman" w:hAnsi="Times New Roman" w:cs="Times New Roman"/>
          <w:sz w:val="22"/>
          <w:szCs w:val="22"/>
        </w:rPr>
        <w:t>FOSA</w:t>
      </w:r>
      <w:r w:rsidRPr="00D21BEF">
        <w:rPr>
          <w:rFonts w:ascii="Times New Roman" w:hAnsi="Times New Roman" w:cs="Times New Roman"/>
          <w:sz w:val="22"/>
          <w:szCs w:val="22"/>
        </w:rPr>
        <w:t>. Deux stratégies sont essentiellement développées : la stratégie fixe et la stratégie avancée. La stratégie avancée se fait de porte à porte co</w:t>
      </w:r>
      <w:r w:rsidR="00C251BB">
        <w:rPr>
          <w:rFonts w:ascii="Times New Roman" w:hAnsi="Times New Roman" w:cs="Times New Roman"/>
          <w:sz w:val="22"/>
          <w:szCs w:val="22"/>
        </w:rPr>
        <w:t>mpte tenu de l’éloignement des ménages</w:t>
      </w:r>
      <w:r w:rsidRPr="00D21BEF">
        <w:rPr>
          <w:rFonts w:ascii="Times New Roman" w:hAnsi="Times New Roman" w:cs="Times New Roman"/>
          <w:sz w:val="22"/>
          <w:szCs w:val="22"/>
        </w:rPr>
        <w:t xml:space="preserve">, l’absence de moyens de déplacement pour les mères et le terrain très accidenté. Les couvertures vaccinales sont satisfaisantes pour l’ensemble des antigènes. Les taux </w:t>
      </w:r>
      <w:r w:rsidR="00C251BB">
        <w:rPr>
          <w:rFonts w:ascii="Times New Roman" w:hAnsi="Times New Roman" w:cs="Times New Roman"/>
          <w:sz w:val="22"/>
          <w:szCs w:val="22"/>
        </w:rPr>
        <w:t>d’abandon enregistrés sont de 9,32</w:t>
      </w:r>
      <w:r w:rsidRPr="00D21BEF">
        <w:rPr>
          <w:rFonts w:ascii="Times New Roman" w:hAnsi="Times New Roman" w:cs="Times New Roman"/>
          <w:sz w:val="22"/>
          <w:szCs w:val="22"/>
        </w:rPr>
        <w:t>% pour le Penta1/penta3</w:t>
      </w:r>
      <w:r w:rsidR="00C251BB">
        <w:rPr>
          <w:rFonts w:ascii="Times New Roman" w:hAnsi="Times New Roman" w:cs="Times New Roman"/>
          <w:sz w:val="22"/>
          <w:szCs w:val="22"/>
        </w:rPr>
        <w:t xml:space="preserve"> et 20,56% pour BCG/VAR en 2021</w:t>
      </w:r>
      <w:r w:rsidRPr="00D21BEF">
        <w:rPr>
          <w:rFonts w:ascii="Times New Roman" w:hAnsi="Times New Roman" w:cs="Times New Roman"/>
          <w:sz w:val="22"/>
          <w:szCs w:val="22"/>
        </w:rPr>
        <w:t>. Ces taux élevés par rapport aux normes nationales (Penta1/penta3 inférieur 5% ; BCG-VAR inférieur à 15%) s’expliquent p</w:t>
      </w:r>
      <w:r w:rsidR="00C251BB">
        <w:rPr>
          <w:rFonts w:ascii="Times New Roman" w:hAnsi="Times New Roman" w:cs="Times New Roman"/>
          <w:sz w:val="22"/>
          <w:szCs w:val="22"/>
        </w:rPr>
        <w:t xml:space="preserve">ar les mouvements de population et l’inaccessibilité géographique. Par ailleurs, </w:t>
      </w:r>
      <w:r w:rsidRPr="00D21BEF">
        <w:rPr>
          <w:rFonts w:ascii="Times New Roman" w:hAnsi="Times New Roman" w:cs="Times New Roman"/>
          <w:sz w:val="22"/>
          <w:szCs w:val="22"/>
        </w:rPr>
        <w:t xml:space="preserve">l’insuffisance en logistique roulante demeure une préoccupation majeure du fait de la stratégie </w:t>
      </w:r>
      <w:r w:rsidR="00C251BB">
        <w:rPr>
          <w:rFonts w:ascii="Times New Roman" w:hAnsi="Times New Roman" w:cs="Times New Roman"/>
          <w:sz w:val="22"/>
          <w:szCs w:val="22"/>
        </w:rPr>
        <w:t>avancée</w:t>
      </w:r>
      <w:r w:rsidRPr="00D21BEF">
        <w:rPr>
          <w:rFonts w:ascii="Times New Roman" w:hAnsi="Times New Roman" w:cs="Times New Roman"/>
          <w:sz w:val="22"/>
          <w:szCs w:val="22"/>
        </w:rPr>
        <w:t>.</w:t>
      </w:r>
    </w:p>
    <w:p w:rsidR="005B2343" w:rsidRDefault="005B2343" w:rsidP="00953D8F">
      <w:pPr>
        <w:spacing w:line="276" w:lineRule="auto"/>
        <w:jc w:val="both"/>
        <w:rPr>
          <w:rFonts w:ascii="Times New Roman" w:hAnsi="Times New Roman" w:cs="Times New Roman"/>
          <w:i/>
          <w:sz w:val="22"/>
          <w:szCs w:val="22"/>
        </w:rPr>
      </w:pPr>
    </w:p>
    <w:p w:rsidR="00953D8F" w:rsidRPr="00C251BB" w:rsidRDefault="00C251BB"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4.4. </w:t>
      </w:r>
      <w:r w:rsidR="00953D8F" w:rsidRPr="00C251BB">
        <w:rPr>
          <w:rFonts w:ascii="Times New Roman" w:hAnsi="Times New Roman" w:cs="Times New Roman"/>
          <w:i/>
          <w:sz w:val="22"/>
          <w:szCs w:val="22"/>
        </w:rPr>
        <w:t>Consultations prénatales et postnatales</w:t>
      </w:r>
    </w:p>
    <w:p w:rsidR="00C251BB" w:rsidRDefault="00C251BB"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En 2021</w:t>
      </w:r>
      <w:r w:rsidR="00953D8F" w:rsidRPr="00D21BEF">
        <w:rPr>
          <w:rFonts w:ascii="Times New Roman" w:hAnsi="Times New Roman" w:cs="Times New Roman"/>
          <w:sz w:val="22"/>
          <w:szCs w:val="22"/>
        </w:rPr>
        <w:t>, les taux de</w:t>
      </w:r>
      <w:r>
        <w:rPr>
          <w:rFonts w:ascii="Times New Roman" w:hAnsi="Times New Roman" w:cs="Times New Roman"/>
          <w:sz w:val="22"/>
          <w:szCs w:val="22"/>
        </w:rPr>
        <w:t xml:space="preserve"> couverture prénatale sont de 75,25% pour la CPN2 et 15,80</w:t>
      </w:r>
      <w:r w:rsidR="00953D8F" w:rsidRPr="00D21BEF">
        <w:rPr>
          <w:rFonts w:ascii="Times New Roman" w:hAnsi="Times New Roman" w:cs="Times New Roman"/>
          <w:sz w:val="22"/>
          <w:szCs w:val="22"/>
        </w:rPr>
        <w:t>% pour la CPN</w:t>
      </w:r>
      <w:r>
        <w:rPr>
          <w:rFonts w:ascii="Times New Roman" w:hAnsi="Times New Roman" w:cs="Times New Roman"/>
          <w:sz w:val="22"/>
          <w:szCs w:val="22"/>
        </w:rPr>
        <w:t xml:space="preserve">4. Le taux de déperdition élevé </w:t>
      </w:r>
      <w:r w:rsidR="00953D8F" w:rsidRPr="00D21BEF">
        <w:rPr>
          <w:rFonts w:ascii="Times New Roman" w:hAnsi="Times New Roman" w:cs="Times New Roman"/>
          <w:sz w:val="22"/>
          <w:szCs w:val="22"/>
        </w:rPr>
        <w:t xml:space="preserve">entre </w:t>
      </w:r>
      <w:r>
        <w:rPr>
          <w:rFonts w:ascii="Times New Roman" w:hAnsi="Times New Roman" w:cs="Times New Roman"/>
          <w:sz w:val="22"/>
          <w:szCs w:val="22"/>
        </w:rPr>
        <w:t xml:space="preserve">la </w:t>
      </w:r>
      <w:r w:rsidR="00953D8F" w:rsidRPr="00D21BEF">
        <w:rPr>
          <w:rFonts w:ascii="Times New Roman" w:hAnsi="Times New Roman" w:cs="Times New Roman"/>
          <w:sz w:val="22"/>
          <w:szCs w:val="22"/>
        </w:rPr>
        <w:t xml:space="preserve">CPN2 et </w:t>
      </w:r>
      <w:r>
        <w:rPr>
          <w:rFonts w:ascii="Times New Roman" w:hAnsi="Times New Roman" w:cs="Times New Roman"/>
          <w:sz w:val="22"/>
          <w:szCs w:val="22"/>
        </w:rPr>
        <w:t xml:space="preserve">la </w:t>
      </w:r>
      <w:r w:rsidR="00953D8F" w:rsidRPr="00D21BEF">
        <w:rPr>
          <w:rFonts w:ascii="Times New Roman" w:hAnsi="Times New Roman" w:cs="Times New Roman"/>
          <w:sz w:val="22"/>
          <w:szCs w:val="22"/>
        </w:rPr>
        <w:t>CPN4, malgré la mise en place des facteurs de motivation tels la distribution gratuite de moustiquaires, de vivres PAM et la gratuité des CPN, s’expliquerait par le début tardif de la première CPN et la faible accessibilité géographique aux services de santé. La consultation post-</w:t>
      </w:r>
      <w:r w:rsidR="00953D8F" w:rsidRPr="00D21BEF">
        <w:rPr>
          <w:rFonts w:ascii="Times New Roman" w:hAnsi="Times New Roman" w:cs="Times New Roman"/>
          <w:sz w:val="22"/>
          <w:szCs w:val="22"/>
        </w:rPr>
        <w:lastRenderedPageBreak/>
        <w:t>natale, bien que meilleure par rapport aux années ant</w:t>
      </w:r>
      <w:r>
        <w:rPr>
          <w:rFonts w:ascii="Times New Roman" w:hAnsi="Times New Roman" w:cs="Times New Roman"/>
          <w:sz w:val="22"/>
          <w:szCs w:val="22"/>
        </w:rPr>
        <w:t>érieures demeure faible. En 2019</w:t>
      </w:r>
      <w:r w:rsidR="00953D8F" w:rsidRPr="00D21BEF">
        <w:rPr>
          <w:rFonts w:ascii="Times New Roman" w:hAnsi="Times New Roman" w:cs="Times New Roman"/>
          <w:sz w:val="22"/>
          <w:szCs w:val="22"/>
        </w:rPr>
        <w:t>, le taux de consultation po</w:t>
      </w:r>
      <w:r>
        <w:rPr>
          <w:rFonts w:ascii="Times New Roman" w:hAnsi="Times New Roman" w:cs="Times New Roman"/>
          <w:sz w:val="22"/>
          <w:szCs w:val="22"/>
        </w:rPr>
        <w:t>st-natale au 6ème jour est de 35,72% et 24,56</w:t>
      </w:r>
      <w:r w:rsidR="00953D8F" w:rsidRPr="00D21BEF">
        <w:rPr>
          <w:rFonts w:ascii="Times New Roman" w:hAnsi="Times New Roman" w:cs="Times New Roman"/>
          <w:sz w:val="22"/>
          <w:szCs w:val="22"/>
        </w:rPr>
        <w:t xml:space="preserve">% à la 6ème semaine. Par ailleurs, peu de femmes reviennent après l’accouchement à la formation sanitaire malgré les sensibilisations. </w:t>
      </w:r>
    </w:p>
    <w:p w:rsidR="00C251BB" w:rsidRDefault="00C251BB" w:rsidP="00953D8F">
      <w:pPr>
        <w:spacing w:line="276" w:lineRule="auto"/>
        <w:jc w:val="both"/>
        <w:rPr>
          <w:rFonts w:ascii="Times New Roman" w:hAnsi="Times New Roman" w:cs="Times New Roman"/>
          <w:i/>
          <w:sz w:val="22"/>
          <w:szCs w:val="22"/>
        </w:rPr>
      </w:pPr>
    </w:p>
    <w:p w:rsidR="00953D8F" w:rsidRPr="00C251BB" w:rsidRDefault="00C251BB"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4.5. </w:t>
      </w:r>
      <w:r w:rsidR="00953D8F" w:rsidRPr="00C251BB">
        <w:rPr>
          <w:rFonts w:ascii="Times New Roman" w:hAnsi="Times New Roman" w:cs="Times New Roman"/>
          <w:i/>
          <w:sz w:val="22"/>
          <w:szCs w:val="22"/>
        </w:rPr>
        <w:t>Consultation du nourrisson sain.</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Cette activité connaît des progrès ces dernières années grâce à l’appui des partenaires. Elle se réalise dans </w:t>
      </w:r>
      <w:r w:rsidR="00C251BB">
        <w:rPr>
          <w:rFonts w:ascii="Times New Roman" w:hAnsi="Times New Roman" w:cs="Times New Roman"/>
          <w:sz w:val="22"/>
          <w:szCs w:val="22"/>
        </w:rPr>
        <w:t>toutes les FOSA</w:t>
      </w:r>
      <w:r w:rsidRPr="00D21BEF">
        <w:rPr>
          <w:rFonts w:ascii="Times New Roman" w:hAnsi="Times New Roman" w:cs="Times New Roman"/>
          <w:sz w:val="22"/>
          <w:szCs w:val="22"/>
        </w:rPr>
        <w:t xml:space="preserve"> et constitue une opportunité pour le suivi vaccinal et nutritionnel des enfants. </w:t>
      </w:r>
      <w:r w:rsidR="00C251BB">
        <w:rPr>
          <w:rFonts w:ascii="Times New Roman" w:hAnsi="Times New Roman" w:cs="Times New Roman"/>
          <w:sz w:val="22"/>
          <w:szCs w:val="22"/>
        </w:rPr>
        <w:t>En 2021, l</w:t>
      </w:r>
      <w:r w:rsidRPr="00D21BEF">
        <w:rPr>
          <w:rFonts w:ascii="Times New Roman" w:hAnsi="Times New Roman" w:cs="Times New Roman"/>
          <w:sz w:val="22"/>
          <w:szCs w:val="22"/>
        </w:rPr>
        <w:t>e taux de couverture en consultat</w:t>
      </w:r>
      <w:r w:rsidR="00C251BB">
        <w:rPr>
          <w:rFonts w:ascii="Times New Roman" w:hAnsi="Times New Roman" w:cs="Times New Roman"/>
          <w:sz w:val="22"/>
          <w:szCs w:val="22"/>
        </w:rPr>
        <w:t>ion de nourrisson sain est de 64,60</w:t>
      </w:r>
      <w:r w:rsidRPr="00D21BEF">
        <w:rPr>
          <w:rFonts w:ascii="Times New Roman" w:hAnsi="Times New Roman" w:cs="Times New Roman"/>
          <w:sz w:val="22"/>
          <w:szCs w:val="22"/>
        </w:rPr>
        <w:t>%.</w:t>
      </w:r>
    </w:p>
    <w:p w:rsidR="00C251BB" w:rsidRDefault="00C251BB" w:rsidP="00953D8F">
      <w:pPr>
        <w:spacing w:line="276" w:lineRule="auto"/>
        <w:jc w:val="both"/>
        <w:rPr>
          <w:rFonts w:ascii="Times New Roman" w:hAnsi="Times New Roman" w:cs="Times New Roman"/>
          <w:i/>
          <w:sz w:val="22"/>
          <w:szCs w:val="22"/>
        </w:rPr>
      </w:pPr>
    </w:p>
    <w:p w:rsidR="00953D8F" w:rsidRPr="00C251BB" w:rsidRDefault="00C251BB"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4.6. </w:t>
      </w:r>
      <w:r w:rsidR="00953D8F" w:rsidRPr="00C251BB">
        <w:rPr>
          <w:rFonts w:ascii="Times New Roman" w:hAnsi="Times New Roman" w:cs="Times New Roman"/>
          <w:i/>
          <w:sz w:val="22"/>
          <w:szCs w:val="22"/>
        </w:rPr>
        <w:t>Récupération nutritionnelle</w:t>
      </w:r>
    </w:p>
    <w:p w:rsidR="00953D8F" w:rsidRPr="00D21BEF" w:rsidRDefault="00953D8F" w:rsidP="00953D8F">
      <w:pPr>
        <w:spacing w:line="276" w:lineRule="auto"/>
        <w:jc w:val="both"/>
        <w:rPr>
          <w:rFonts w:ascii="Times New Roman" w:hAnsi="Times New Roman" w:cs="Times New Roman"/>
          <w:sz w:val="22"/>
          <w:szCs w:val="22"/>
        </w:rPr>
      </w:pPr>
      <w:r w:rsidRPr="00D21BEF">
        <w:rPr>
          <w:rFonts w:ascii="Times New Roman" w:hAnsi="Times New Roman" w:cs="Times New Roman"/>
          <w:sz w:val="22"/>
          <w:szCs w:val="22"/>
        </w:rPr>
        <w:t xml:space="preserve">Toutes les </w:t>
      </w:r>
      <w:r w:rsidR="00C251BB">
        <w:rPr>
          <w:rFonts w:ascii="Times New Roman" w:hAnsi="Times New Roman" w:cs="Times New Roman"/>
          <w:sz w:val="22"/>
          <w:szCs w:val="22"/>
        </w:rPr>
        <w:t>FOSA</w:t>
      </w:r>
      <w:r w:rsidRPr="00D21BEF">
        <w:rPr>
          <w:rFonts w:ascii="Times New Roman" w:hAnsi="Times New Roman" w:cs="Times New Roman"/>
          <w:sz w:val="22"/>
          <w:szCs w:val="22"/>
        </w:rPr>
        <w:t xml:space="preserve"> assurent le dépistage et la prise en charge des malnutris en collaboration avec les agents de santé communau</w:t>
      </w:r>
      <w:r w:rsidR="00C251BB">
        <w:rPr>
          <w:rFonts w:ascii="Times New Roman" w:hAnsi="Times New Roman" w:cs="Times New Roman"/>
          <w:sz w:val="22"/>
          <w:szCs w:val="22"/>
        </w:rPr>
        <w:t>taires. Au cours de l’année 2021, le district a enregistré 8 569 cas de malnutris modérés et 2536</w:t>
      </w:r>
      <w:r w:rsidRPr="00D21BEF">
        <w:rPr>
          <w:rFonts w:ascii="Times New Roman" w:hAnsi="Times New Roman" w:cs="Times New Roman"/>
          <w:sz w:val="22"/>
          <w:szCs w:val="22"/>
        </w:rPr>
        <w:t xml:space="preserve"> cas de malnutris sévères dont </w:t>
      </w:r>
      <w:r w:rsidR="00C251BB">
        <w:rPr>
          <w:rFonts w:ascii="Times New Roman" w:hAnsi="Times New Roman" w:cs="Times New Roman"/>
          <w:sz w:val="22"/>
          <w:szCs w:val="22"/>
        </w:rPr>
        <w:t>302</w:t>
      </w:r>
      <w:r w:rsidRPr="00D21BEF">
        <w:rPr>
          <w:rFonts w:ascii="Times New Roman" w:hAnsi="Times New Roman" w:cs="Times New Roman"/>
          <w:sz w:val="22"/>
          <w:szCs w:val="22"/>
        </w:rPr>
        <w:t xml:space="preserve"> avec complications pour ce qui concerne la</w:t>
      </w:r>
      <w:r w:rsidR="00C251BB">
        <w:rPr>
          <w:rFonts w:ascii="Times New Roman" w:hAnsi="Times New Roman" w:cs="Times New Roman"/>
          <w:sz w:val="22"/>
          <w:szCs w:val="22"/>
        </w:rPr>
        <w:t xml:space="preserve"> cible de 6-59 mois. Aussi, 1596</w:t>
      </w:r>
      <w:r w:rsidRPr="00D21BEF">
        <w:rPr>
          <w:rFonts w:ascii="Times New Roman" w:hAnsi="Times New Roman" w:cs="Times New Roman"/>
          <w:sz w:val="22"/>
          <w:szCs w:val="22"/>
        </w:rPr>
        <w:t xml:space="preserve"> femmes enceintes et allaitantes ont été dépistées malnutries et prises en charge. Afin de mieux organiser la prise en charge de la malnutrition, le district a mis en place un cadre semestriel de concertation avec les différents intervenants. Malheureusement, ce cadre </w:t>
      </w:r>
      <w:r w:rsidR="00C251BB">
        <w:rPr>
          <w:rFonts w:ascii="Times New Roman" w:hAnsi="Times New Roman" w:cs="Times New Roman"/>
          <w:sz w:val="22"/>
          <w:szCs w:val="22"/>
        </w:rPr>
        <w:t xml:space="preserve">n’est pas fonctionnel </w:t>
      </w:r>
      <w:r w:rsidRPr="00D21BEF">
        <w:rPr>
          <w:rFonts w:ascii="Times New Roman" w:hAnsi="Times New Roman" w:cs="Times New Roman"/>
          <w:sz w:val="22"/>
          <w:szCs w:val="22"/>
        </w:rPr>
        <w:t>à cause de l’absence de financement.</w:t>
      </w:r>
    </w:p>
    <w:p w:rsidR="00953D8F" w:rsidRPr="00D21BEF" w:rsidRDefault="00953D8F" w:rsidP="00953D8F">
      <w:pPr>
        <w:spacing w:line="276" w:lineRule="auto"/>
        <w:jc w:val="both"/>
        <w:rPr>
          <w:rFonts w:ascii="Times New Roman" w:hAnsi="Times New Roman" w:cs="Times New Roman"/>
          <w:sz w:val="22"/>
          <w:szCs w:val="22"/>
        </w:rPr>
      </w:pPr>
    </w:p>
    <w:p w:rsidR="00953D8F" w:rsidRPr="00C251BB" w:rsidRDefault="00C251BB" w:rsidP="00953D8F">
      <w:pPr>
        <w:spacing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4.7. </w:t>
      </w:r>
      <w:r w:rsidR="00953D8F" w:rsidRPr="00C251BB">
        <w:rPr>
          <w:rFonts w:ascii="Times New Roman" w:hAnsi="Times New Roman" w:cs="Times New Roman"/>
          <w:i/>
          <w:sz w:val="22"/>
          <w:szCs w:val="22"/>
        </w:rPr>
        <w:t>Information- éducation- communication (IEC)</w:t>
      </w:r>
    </w:p>
    <w:p w:rsidR="00953D8F" w:rsidRPr="00D21BEF" w:rsidRDefault="00C251BB"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Durant l’année 2021</w:t>
      </w:r>
      <w:r w:rsidR="00953D8F" w:rsidRPr="00D21BEF">
        <w:rPr>
          <w:rFonts w:ascii="Times New Roman" w:hAnsi="Times New Roman" w:cs="Times New Roman"/>
          <w:sz w:val="22"/>
          <w:szCs w:val="22"/>
        </w:rPr>
        <w:t xml:space="preserve"> le district a réalisé </w:t>
      </w:r>
      <w:r>
        <w:rPr>
          <w:rFonts w:ascii="Times New Roman" w:hAnsi="Times New Roman" w:cs="Times New Roman"/>
          <w:sz w:val="22"/>
          <w:szCs w:val="22"/>
        </w:rPr>
        <w:t>12565</w:t>
      </w:r>
      <w:r w:rsidR="00953D8F" w:rsidRPr="00D21BEF">
        <w:rPr>
          <w:rFonts w:ascii="Times New Roman" w:hAnsi="Times New Roman" w:cs="Times New Roman"/>
          <w:sz w:val="22"/>
          <w:szCs w:val="22"/>
        </w:rPr>
        <w:t xml:space="preserve"> sé</w:t>
      </w:r>
      <w:r>
        <w:rPr>
          <w:rFonts w:ascii="Times New Roman" w:hAnsi="Times New Roman" w:cs="Times New Roman"/>
          <w:sz w:val="22"/>
          <w:szCs w:val="22"/>
        </w:rPr>
        <w:t>ances de sensibilisation dont 86,78</w:t>
      </w:r>
      <w:r w:rsidR="00953D8F" w:rsidRPr="00D21BEF">
        <w:rPr>
          <w:rFonts w:ascii="Times New Roman" w:hAnsi="Times New Roman" w:cs="Times New Roman"/>
          <w:sz w:val="22"/>
          <w:szCs w:val="22"/>
        </w:rPr>
        <w:t>% de causer</w:t>
      </w:r>
      <w:r>
        <w:rPr>
          <w:rFonts w:ascii="Times New Roman" w:hAnsi="Times New Roman" w:cs="Times New Roman"/>
          <w:sz w:val="22"/>
          <w:szCs w:val="22"/>
        </w:rPr>
        <w:t xml:space="preserve">ies éducatives. </w:t>
      </w:r>
      <w:r w:rsidR="00953D8F" w:rsidRPr="00D21BEF">
        <w:rPr>
          <w:rFonts w:ascii="Times New Roman" w:hAnsi="Times New Roman" w:cs="Times New Roman"/>
          <w:sz w:val="22"/>
          <w:szCs w:val="22"/>
        </w:rPr>
        <w:t>La radio locale contribue également à cette activité à travers les émissions radiodiffusées.</w:t>
      </w:r>
      <w:r>
        <w:rPr>
          <w:rFonts w:ascii="Times New Roman" w:hAnsi="Times New Roman" w:cs="Times New Roman"/>
          <w:sz w:val="22"/>
          <w:szCs w:val="22"/>
        </w:rPr>
        <w:t xml:space="preserve"> Le nombre de radio communautaires/locales était estimé à </w:t>
      </w:r>
      <w:r w:rsidR="00A757CC">
        <w:rPr>
          <w:rFonts w:ascii="Times New Roman" w:hAnsi="Times New Roman" w:cs="Times New Roman"/>
          <w:sz w:val="22"/>
          <w:szCs w:val="22"/>
        </w:rPr>
        <w:t>3 dans le district en 2021.</w:t>
      </w:r>
    </w:p>
    <w:p w:rsidR="00187C90" w:rsidRPr="00D21BEF" w:rsidRDefault="00187C90" w:rsidP="00953D8F">
      <w:pPr>
        <w:spacing w:line="276" w:lineRule="auto"/>
        <w:jc w:val="both"/>
        <w:rPr>
          <w:rFonts w:ascii="Times New Roman" w:hAnsi="Times New Roman" w:cs="Times New Roman"/>
          <w:sz w:val="22"/>
          <w:szCs w:val="22"/>
        </w:rPr>
      </w:pPr>
    </w:p>
    <w:p w:rsidR="00953D8F" w:rsidRPr="00A757CC" w:rsidRDefault="00A757CC" w:rsidP="00953D8F">
      <w:pPr>
        <w:spacing w:line="276" w:lineRule="auto"/>
        <w:jc w:val="both"/>
        <w:rPr>
          <w:rFonts w:ascii="Times New Roman" w:hAnsi="Times New Roman" w:cs="Times New Roman"/>
          <w:i/>
          <w:sz w:val="22"/>
          <w:szCs w:val="22"/>
        </w:rPr>
      </w:pPr>
      <w:bookmarkStart w:id="118" w:name="_Toc326392689"/>
      <w:bookmarkStart w:id="119" w:name="_Toc326557784"/>
      <w:r>
        <w:rPr>
          <w:rFonts w:ascii="Times New Roman" w:hAnsi="Times New Roman" w:cs="Times New Roman"/>
          <w:i/>
          <w:sz w:val="22"/>
          <w:szCs w:val="22"/>
        </w:rPr>
        <w:t xml:space="preserve">4.8. </w:t>
      </w:r>
      <w:r w:rsidR="00953D8F" w:rsidRPr="00A757CC">
        <w:rPr>
          <w:rFonts w:ascii="Times New Roman" w:hAnsi="Times New Roman" w:cs="Times New Roman"/>
          <w:i/>
          <w:sz w:val="22"/>
          <w:szCs w:val="22"/>
        </w:rPr>
        <w:t>Services à base communautaire.</w:t>
      </w:r>
      <w:bookmarkEnd w:id="118"/>
      <w:bookmarkEnd w:id="119"/>
    </w:p>
    <w:p w:rsidR="00953D8F" w:rsidRPr="00D21BEF" w:rsidRDefault="00A757CC"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Le district compte en 2021, 255</w:t>
      </w:r>
      <w:r w:rsidR="00953D8F" w:rsidRPr="00D21BEF">
        <w:rPr>
          <w:rFonts w:ascii="Times New Roman" w:hAnsi="Times New Roman" w:cs="Times New Roman"/>
          <w:sz w:val="22"/>
          <w:szCs w:val="22"/>
        </w:rPr>
        <w:t xml:space="preserve"> A</w:t>
      </w:r>
      <w:r>
        <w:rPr>
          <w:rFonts w:ascii="Times New Roman" w:hAnsi="Times New Roman" w:cs="Times New Roman"/>
          <w:sz w:val="22"/>
          <w:szCs w:val="22"/>
        </w:rPr>
        <w:t xml:space="preserve">gents de Santé </w:t>
      </w:r>
      <w:r w:rsidR="00953D8F" w:rsidRPr="00D21BEF">
        <w:rPr>
          <w:rFonts w:ascii="Times New Roman" w:hAnsi="Times New Roman" w:cs="Times New Roman"/>
          <w:sz w:val="22"/>
          <w:szCs w:val="22"/>
        </w:rPr>
        <w:t>C</w:t>
      </w:r>
      <w:r>
        <w:rPr>
          <w:rFonts w:ascii="Times New Roman" w:hAnsi="Times New Roman" w:cs="Times New Roman"/>
          <w:sz w:val="22"/>
          <w:szCs w:val="22"/>
        </w:rPr>
        <w:t>ommunautaire</w:t>
      </w:r>
      <w:r w:rsidR="00953D8F" w:rsidRPr="00D21BEF">
        <w:rPr>
          <w:rFonts w:ascii="Times New Roman" w:hAnsi="Times New Roman" w:cs="Times New Roman"/>
          <w:sz w:val="22"/>
          <w:szCs w:val="22"/>
        </w:rPr>
        <w:t xml:space="preserve">. Ils apportent un appui considérable aux activités des </w:t>
      </w:r>
      <w:r>
        <w:rPr>
          <w:rFonts w:ascii="Times New Roman" w:hAnsi="Times New Roman" w:cs="Times New Roman"/>
          <w:sz w:val="22"/>
          <w:szCs w:val="22"/>
        </w:rPr>
        <w:t>FOSA (</w:t>
      </w:r>
      <w:r w:rsidRPr="00D21BEF">
        <w:rPr>
          <w:rFonts w:ascii="Times New Roman" w:hAnsi="Times New Roman" w:cs="Times New Roman"/>
          <w:sz w:val="22"/>
          <w:szCs w:val="22"/>
        </w:rPr>
        <w:t>dépistage et la prise en charge du paludisme simple</w:t>
      </w:r>
      <w:r>
        <w:rPr>
          <w:rFonts w:ascii="Times New Roman" w:hAnsi="Times New Roman" w:cs="Times New Roman"/>
          <w:sz w:val="22"/>
          <w:szCs w:val="22"/>
        </w:rPr>
        <w:t>, planification familiale, sensibilisation, référence des cas vers les FOSA)</w:t>
      </w:r>
      <w:r w:rsidR="00953D8F" w:rsidRPr="00D21BEF">
        <w:rPr>
          <w:rFonts w:ascii="Times New Roman" w:hAnsi="Times New Roman" w:cs="Times New Roman"/>
          <w:sz w:val="22"/>
          <w:szCs w:val="22"/>
        </w:rPr>
        <w:t>.</w:t>
      </w:r>
      <w:r>
        <w:rPr>
          <w:rFonts w:ascii="Times New Roman" w:hAnsi="Times New Roman" w:cs="Times New Roman"/>
          <w:sz w:val="22"/>
          <w:szCs w:val="22"/>
        </w:rPr>
        <w:t xml:space="preserve"> </w:t>
      </w:r>
      <w:r w:rsidR="00953D8F" w:rsidRPr="00D21BEF">
        <w:rPr>
          <w:rFonts w:ascii="Times New Roman" w:hAnsi="Times New Roman" w:cs="Times New Roman"/>
          <w:sz w:val="22"/>
          <w:szCs w:val="22"/>
        </w:rPr>
        <w:t xml:space="preserve">La mise en œuvre des services à base communautaire est insuffisante par manque de financement. Aussi, l’âge avancé de certains </w:t>
      </w:r>
      <w:r>
        <w:rPr>
          <w:rFonts w:ascii="Times New Roman" w:hAnsi="Times New Roman" w:cs="Times New Roman"/>
          <w:sz w:val="22"/>
          <w:szCs w:val="22"/>
        </w:rPr>
        <w:t>ASC</w:t>
      </w:r>
      <w:r w:rsidR="00953D8F" w:rsidRPr="00D21BEF">
        <w:rPr>
          <w:rFonts w:ascii="Times New Roman" w:hAnsi="Times New Roman" w:cs="Times New Roman"/>
          <w:sz w:val="22"/>
          <w:szCs w:val="22"/>
        </w:rPr>
        <w:t xml:space="preserve"> réduit leur dynamisme et constitue un frein majeur à la mise en œuvre des activités communautaires.</w:t>
      </w:r>
    </w:p>
    <w:p w:rsidR="00A757CC" w:rsidRDefault="00A757CC" w:rsidP="00A757CC">
      <w:pPr>
        <w:spacing w:line="276" w:lineRule="auto"/>
        <w:jc w:val="both"/>
        <w:rPr>
          <w:rFonts w:ascii="Times New Roman" w:hAnsi="Times New Roman" w:cs="Times New Roman"/>
          <w:i/>
          <w:sz w:val="22"/>
          <w:szCs w:val="22"/>
        </w:rPr>
      </w:pPr>
    </w:p>
    <w:p w:rsidR="00953D8F" w:rsidRPr="00A757CC" w:rsidRDefault="007B68A3" w:rsidP="00A757CC">
      <w:pPr>
        <w:spacing w:line="276" w:lineRule="auto"/>
        <w:jc w:val="both"/>
        <w:rPr>
          <w:rFonts w:ascii="Times New Roman" w:hAnsi="Times New Roman" w:cs="Times New Roman"/>
          <w:i/>
          <w:sz w:val="22"/>
          <w:szCs w:val="22"/>
        </w:rPr>
      </w:pPr>
      <w:bookmarkStart w:id="120" w:name="_Toc284411743"/>
      <w:bookmarkStart w:id="121" w:name="_Toc316331262"/>
      <w:bookmarkStart w:id="122" w:name="_Toc316331323"/>
      <w:bookmarkStart w:id="123" w:name="_Toc316331383"/>
      <w:bookmarkStart w:id="124" w:name="_Toc316331526"/>
      <w:bookmarkStart w:id="125" w:name="_Toc316331586"/>
      <w:bookmarkStart w:id="126" w:name="_Toc316331870"/>
      <w:bookmarkStart w:id="127" w:name="_Toc316332048"/>
      <w:bookmarkStart w:id="128" w:name="_Toc316332149"/>
      <w:bookmarkStart w:id="129" w:name="_Toc326392690"/>
      <w:bookmarkStart w:id="130" w:name="_Toc326557785"/>
      <w:r>
        <w:rPr>
          <w:rFonts w:ascii="Times New Roman" w:hAnsi="Times New Roman" w:cs="Times New Roman"/>
          <w:i/>
          <w:sz w:val="22"/>
          <w:szCs w:val="22"/>
        </w:rPr>
        <w:t>4.9</w:t>
      </w:r>
      <w:r w:rsidR="00A757CC">
        <w:rPr>
          <w:rFonts w:ascii="Times New Roman" w:hAnsi="Times New Roman" w:cs="Times New Roman"/>
          <w:i/>
          <w:sz w:val="22"/>
          <w:szCs w:val="22"/>
        </w:rPr>
        <w:t>. Gestion des médicaments</w:t>
      </w:r>
      <w:r w:rsidR="00953D8F" w:rsidRPr="00A757CC">
        <w:rPr>
          <w:rFonts w:ascii="Times New Roman" w:hAnsi="Times New Roman" w:cs="Times New Roman"/>
          <w:i/>
          <w:sz w:val="22"/>
          <w:szCs w:val="22"/>
        </w:rPr>
        <w:t xml:space="preserve"> et des vaccins</w:t>
      </w:r>
      <w:bookmarkEnd w:id="120"/>
      <w:bookmarkEnd w:id="121"/>
      <w:bookmarkEnd w:id="122"/>
      <w:bookmarkEnd w:id="123"/>
      <w:bookmarkEnd w:id="124"/>
      <w:bookmarkEnd w:id="125"/>
      <w:bookmarkEnd w:id="126"/>
      <w:bookmarkEnd w:id="127"/>
      <w:bookmarkEnd w:id="128"/>
      <w:bookmarkEnd w:id="129"/>
      <w:bookmarkEnd w:id="130"/>
    </w:p>
    <w:p w:rsidR="00953D8F" w:rsidRPr="00D21BEF" w:rsidRDefault="00A757CC" w:rsidP="00953D8F">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Le dépôt du district </w:t>
      </w:r>
      <w:r w:rsidR="00953D8F" w:rsidRPr="00D21BEF">
        <w:rPr>
          <w:rFonts w:ascii="Times New Roman" w:hAnsi="Times New Roman" w:cs="Times New Roman"/>
          <w:sz w:val="22"/>
          <w:szCs w:val="22"/>
        </w:rPr>
        <w:t xml:space="preserve">de </w:t>
      </w:r>
      <w:r w:rsidR="003D46BA" w:rsidRPr="00D21BEF">
        <w:rPr>
          <w:rFonts w:ascii="Times New Roman" w:hAnsi="Times New Roman" w:cs="Times New Roman"/>
          <w:sz w:val="22"/>
          <w:szCs w:val="22"/>
        </w:rPr>
        <w:t>Kolanga</w:t>
      </w:r>
      <w:r w:rsidR="00953D8F" w:rsidRPr="00D21BEF">
        <w:rPr>
          <w:rFonts w:ascii="Times New Roman" w:hAnsi="Times New Roman" w:cs="Times New Roman"/>
          <w:sz w:val="22"/>
          <w:szCs w:val="22"/>
        </w:rPr>
        <w:t xml:space="preserve"> est approvisionné par l’agence </w:t>
      </w:r>
      <w:r>
        <w:rPr>
          <w:rFonts w:ascii="Times New Roman" w:hAnsi="Times New Roman" w:cs="Times New Roman"/>
          <w:sz w:val="22"/>
          <w:szCs w:val="22"/>
        </w:rPr>
        <w:t>centrale</w:t>
      </w:r>
      <w:r w:rsidR="00953D8F" w:rsidRPr="00D21BEF">
        <w:rPr>
          <w:rFonts w:ascii="Times New Roman" w:hAnsi="Times New Roman" w:cs="Times New Roman"/>
          <w:sz w:val="22"/>
          <w:szCs w:val="22"/>
        </w:rPr>
        <w:t>. Il ravitaille toutes les structures sanitaires publiques de</w:t>
      </w:r>
      <w:r>
        <w:rPr>
          <w:rFonts w:ascii="Times New Roman" w:hAnsi="Times New Roman" w:cs="Times New Roman"/>
          <w:sz w:val="22"/>
          <w:szCs w:val="22"/>
        </w:rPr>
        <w:t xml:space="preserve"> son aire de responsabilité et </w:t>
      </w:r>
      <w:r w:rsidR="00953D8F" w:rsidRPr="00D21BEF">
        <w:rPr>
          <w:rFonts w:ascii="Times New Roman" w:hAnsi="Times New Roman" w:cs="Times New Roman"/>
          <w:sz w:val="22"/>
          <w:szCs w:val="22"/>
        </w:rPr>
        <w:t>certains points de vente de médicaments tels que l’Orphelinat et l’infirmerie de la garnison.</w:t>
      </w:r>
      <w:r>
        <w:rPr>
          <w:rFonts w:ascii="Times New Roman" w:hAnsi="Times New Roman" w:cs="Times New Roman"/>
          <w:sz w:val="22"/>
          <w:szCs w:val="22"/>
        </w:rPr>
        <w:t xml:space="preserve"> D</w:t>
      </w:r>
      <w:r w:rsidR="00953D8F" w:rsidRPr="00D21BEF">
        <w:rPr>
          <w:rFonts w:ascii="Times New Roman" w:hAnsi="Times New Roman" w:cs="Times New Roman"/>
          <w:sz w:val="22"/>
          <w:szCs w:val="22"/>
        </w:rPr>
        <w:t xml:space="preserve">es insuffisances sont souvent constatées dans la gestion des dépôts MEG. Elles sont liées à </w:t>
      </w:r>
      <w:r>
        <w:rPr>
          <w:rFonts w:ascii="Times New Roman" w:hAnsi="Times New Roman" w:cs="Times New Roman"/>
          <w:sz w:val="22"/>
          <w:szCs w:val="22"/>
        </w:rPr>
        <w:t xml:space="preserve">l’insuffisance en nombre et en </w:t>
      </w:r>
      <w:r w:rsidR="00953D8F" w:rsidRPr="00D21BEF">
        <w:rPr>
          <w:rFonts w:ascii="Times New Roman" w:hAnsi="Times New Roman" w:cs="Times New Roman"/>
          <w:sz w:val="22"/>
          <w:szCs w:val="22"/>
        </w:rPr>
        <w:t>qualité des gérants, à leur mobilité et à leur motivation salariale.</w:t>
      </w:r>
      <w:r>
        <w:rPr>
          <w:rFonts w:ascii="Times New Roman" w:hAnsi="Times New Roman" w:cs="Times New Roman"/>
          <w:sz w:val="22"/>
          <w:szCs w:val="22"/>
        </w:rPr>
        <w:t xml:space="preserve"> Le dépôt de district c</w:t>
      </w:r>
      <w:r w:rsidR="00953D8F" w:rsidRPr="00D21BEF">
        <w:rPr>
          <w:rFonts w:ascii="Times New Roman" w:hAnsi="Times New Roman" w:cs="Times New Roman"/>
          <w:sz w:val="22"/>
          <w:szCs w:val="22"/>
        </w:rPr>
        <w:t xml:space="preserve">onnaît souvent des </w:t>
      </w:r>
      <w:r>
        <w:rPr>
          <w:rFonts w:ascii="Times New Roman" w:hAnsi="Times New Roman" w:cs="Times New Roman"/>
          <w:sz w:val="22"/>
          <w:szCs w:val="22"/>
        </w:rPr>
        <w:t xml:space="preserve">ruptures </w:t>
      </w:r>
      <w:r w:rsidR="00953D8F" w:rsidRPr="00D21BEF">
        <w:rPr>
          <w:rFonts w:ascii="Times New Roman" w:hAnsi="Times New Roman" w:cs="Times New Roman"/>
          <w:sz w:val="22"/>
          <w:szCs w:val="22"/>
        </w:rPr>
        <w:t xml:space="preserve">de </w:t>
      </w:r>
      <w:r>
        <w:rPr>
          <w:rFonts w:ascii="Times New Roman" w:hAnsi="Times New Roman" w:cs="Times New Roman"/>
          <w:sz w:val="22"/>
          <w:szCs w:val="22"/>
        </w:rPr>
        <w:t xml:space="preserve">certains médicaments </w:t>
      </w:r>
      <w:r w:rsidR="00953D8F" w:rsidRPr="00D21BEF">
        <w:rPr>
          <w:rFonts w:ascii="Times New Roman" w:hAnsi="Times New Roman" w:cs="Times New Roman"/>
          <w:sz w:val="22"/>
          <w:szCs w:val="22"/>
        </w:rPr>
        <w:t>liées essentiellement à l’insuffisance d’estimation des besoins de commandes, à l’insuffisance de suivi des stocks et à la faible capacité financière de certaines formations sanitaires.</w:t>
      </w:r>
      <w:r>
        <w:rPr>
          <w:rFonts w:ascii="Times New Roman" w:hAnsi="Times New Roman" w:cs="Times New Roman"/>
          <w:sz w:val="22"/>
          <w:szCs w:val="22"/>
        </w:rPr>
        <w:t xml:space="preserve"> Le dépôt du programme de vaccination </w:t>
      </w:r>
      <w:r w:rsidR="00953D8F" w:rsidRPr="00D21BEF">
        <w:rPr>
          <w:rFonts w:ascii="Times New Roman" w:hAnsi="Times New Roman" w:cs="Times New Roman"/>
          <w:sz w:val="22"/>
          <w:szCs w:val="22"/>
        </w:rPr>
        <w:t xml:space="preserve">du district ne dispose pas de local approprié. </w:t>
      </w:r>
    </w:p>
    <w:p w:rsidR="00EE485B" w:rsidRDefault="00EE485B"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rPr>
      </w:pPr>
    </w:p>
    <w:p w:rsidR="00BD6637" w:rsidRDefault="00BD6637" w:rsidP="00A757CC">
      <w:pPr>
        <w:rPr>
          <w:rFonts w:ascii="Times New Roman" w:hAnsi="Times New Roman" w:cs="Times New Roman"/>
          <w:b/>
          <w:i/>
        </w:rPr>
      </w:pPr>
      <w:r w:rsidRPr="00BD6637">
        <w:rPr>
          <w:rFonts w:ascii="Times New Roman" w:hAnsi="Times New Roman" w:cs="Times New Roman"/>
          <w:b/>
          <w:i/>
        </w:rPr>
        <w:lastRenderedPageBreak/>
        <w:t>Ex canevas de budgétisation</w:t>
      </w:r>
    </w:p>
    <w:p w:rsidR="00BD6637" w:rsidRDefault="00BD6637" w:rsidP="00A757CC">
      <w:pPr>
        <w:rPr>
          <w:rFonts w:ascii="Times New Roman" w:hAnsi="Times New Roman" w:cs="Times New Roman"/>
          <w:b/>
          <w:i/>
        </w:rPr>
      </w:pPr>
    </w:p>
    <w:tbl>
      <w:tblPr>
        <w:tblW w:w="5000" w:type="pct"/>
        <w:tblCellMar>
          <w:left w:w="70" w:type="dxa"/>
          <w:right w:w="70" w:type="dxa"/>
        </w:tblCellMar>
        <w:tblLook w:val="04A0" w:firstRow="1" w:lastRow="0" w:firstColumn="1" w:lastColumn="0" w:noHBand="0" w:noVBand="1"/>
      </w:tblPr>
      <w:tblGrid>
        <w:gridCol w:w="4282"/>
        <w:gridCol w:w="1412"/>
        <w:gridCol w:w="972"/>
        <w:gridCol w:w="1432"/>
        <w:gridCol w:w="1231"/>
      </w:tblGrid>
      <w:tr w:rsidR="00B1350C" w:rsidRPr="00B1350C" w:rsidTr="00F94398">
        <w:trPr>
          <w:trHeight w:val="2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B1350C" w:rsidRPr="00B1350C" w:rsidRDefault="00B1350C" w:rsidP="00F94398">
            <w:pPr>
              <w:rPr>
                <w:rFonts w:ascii="Times New Roman" w:hAnsi="Times New Roman" w:cs="Times New Roman"/>
                <w:b/>
                <w:sz w:val="22"/>
                <w:szCs w:val="22"/>
              </w:rPr>
            </w:pPr>
            <w:r>
              <w:rPr>
                <w:rFonts w:ascii="Times New Roman" w:hAnsi="Times New Roman" w:cs="Times New Roman"/>
                <w:b/>
                <w:sz w:val="22"/>
                <w:szCs w:val="22"/>
              </w:rPr>
              <w:t xml:space="preserve">Activité 1 : </w:t>
            </w:r>
            <w:r w:rsidRPr="00B1350C">
              <w:rPr>
                <w:rFonts w:ascii="Times New Roman" w:hAnsi="Times New Roman" w:cs="Times New Roman"/>
                <w:b/>
                <w:sz w:val="22"/>
                <w:szCs w:val="22"/>
              </w:rPr>
              <w:t xml:space="preserve">Former 25 </w:t>
            </w:r>
            <w:r w:rsidR="002A680C">
              <w:rPr>
                <w:rFonts w:ascii="Times New Roman" w:hAnsi="Times New Roman" w:cs="Times New Roman"/>
                <w:b/>
                <w:sz w:val="22"/>
                <w:szCs w:val="22"/>
              </w:rPr>
              <w:t>agents de santé</w:t>
            </w:r>
            <w:bookmarkStart w:id="131" w:name="_GoBack"/>
            <w:bookmarkEnd w:id="131"/>
            <w:r w:rsidRPr="00B1350C">
              <w:rPr>
                <w:rFonts w:ascii="Times New Roman" w:hAnsi="Times New Roman" w:cs="Times New Roman"/>
                <w:b/>
                <w:sz w:val="22"/>
                <w:szCs w:val="22"/>
              </w:rPr>
              <w:t xml:space="preserve"> sur l</w:t>
            </w:r>
            <w:r>
              <w:rPr>
                <w:rFonts w:ascii="Times New Roman" w:hAnsi="Times New Roman" w:cs="Times New Roman"/>
                <w:b/>
                <w:sz w:val="22"/>
                <w:szCs w:val="22"/>
              </w:rPr>
              <w:t xml:space="preserve">a vaccination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Désignation</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Nb de nuitées</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Quantité</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P.U</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Montant</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Frais de subsistance</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Participants</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25</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7 500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 xml:space="preserve">  937 500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Facilitateurs ECD</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3</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12 500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 xml:space="preserve">    187 500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Administrateur</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7 500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 xml:space="preserve">  37 500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Personnel de soutien</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5000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 xml:space="preserve"> 50 000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Sous-Total</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b/>
                <w:i/>
                <w:sz w:val="22"/>
                <w:szCs w:val="22"/>
              </w:rPr>
            </w:pPr>
            <w:r w:rsidRPr="00B1350C">
              <w:rPr>
                <w:rFonts w:ascii="Times New Roman" w:hAnsi="Times New Roman" w:cs="Times New Roman"/>
                <w:b/>
                <w:i/>
                <w:sz w:val="22"/>
                <w:szCs w:val="22"/>
              </w:rPr>
              <w:t xml:space="preserve">1 212 500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Pause café</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31</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2 500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387 500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Transport</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xml:space="preserve">Frais de transport des participants </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2400</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50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120 000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Sous-Total</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1</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b/>
                <w:i/>
                <w:sz w:val="22"/>
                <w:szCs w:val="22"/>
              </w:rPr>
            </w:pPr>
            <w:r w:rsidRPr="00B1350C">
              <w:rPr>
                <w:rFonts w:ascii="Times New Roman" w:hAnsi="Times New Roman" w:cs="Times New Roman"/>
                <w:b/>
                <w:i/>
                <w:sz w:val="22"/>
                <w:szCs w:val="22"/>
              </w:rPr>
              <w:t>120 000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Fournitures de Bureau</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 </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Cahier de 100 pages</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25</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5 000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Rames de papier</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4</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4000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16 000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Marqueurs (paquets)</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7500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7 500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Bic</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28</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2 800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Blocs notes</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3</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1200</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3 600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Sous-Total</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 </w:t>
            </w:r>
          </w:p>
        </w:tc>
        <w:tc>
          <w:tcPr>
            <w:tcW w:w="74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jc w:val="right"/>
              <w:rPr>
                <w:rFonts w:ascii="Times New Roman" w:hAnsi="Times New Roman" w:cs="Times New Roman"/>
                <w:b/>
                <w:i/>
                <w:sz w:val="22"/>
                <w:szCs w:val="22"/>
              </w:rPr>
            </w:pPr>
            <w:r w:rsidRPr="00B1350C">
              <w:rPr>
                <w:rFonts w:ascii="Times New Roman" w:hAnsi="Times New Roman" w:cs="Times New Roman"/>
                <w:b/>
                <w:i/>
                <w:sz w:val="22"/>
                <w:szCs w:val="22"/>
              </w:rPr>
              <w:t>34 900</w:t>
            </w:r>
          </w:p>
        </w:tc>
      </w:tr>
      <w:tr w:rsidR="00B1350C" w:rsidRPr="00B1350C" w:rsidTr="00F94398">
        <w:trPr>
          <w:trHeight w:val="20"/>
        </w:trPr>
        <w:tc>
          <w:tcPr>
            <w:tcW w:w="2381" w:type="pct"/>
            <w:tcBorders>
              <w:top w:val="nil"/>
              <w:left w:val="single" w:sz="4" w:space="0" w:color="auto"/>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sz w:val="22"/>
                <w:szCs w:val="22"/>
              </w:rPr>
            </w:pPr>
            <w:r w:rsidRPr="00B1350C">
              <w:rPr>
                <w:rFonts w:ascii="Times New Roman" w:hAnsi="Times New Roman" w:cs="Times New Roman"/>
                <w:b/>
                <w:sz w:val="22"/>
                <w:szCs w:val="22"/>
              </w:rPr>
              <w:t>TOTAL GENERAL</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sz w:val="22"/>
                <w:szCs w:val="22"/>
              </w:rPr>
            </w:pPr>
            <w:r w:rsidRPr="00B1350C">
              <w:rPr>
                <w:rFonts w:ascii="Times New Roman" w:hAnsi="Times New Roman" w:cs="Times New Roman"/>
                <w:b/>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sz w:val="22"/>
                <w:szCs w:val="22"/>
              </w:rPr>
            </w:pPr>
            <w:r w:rsidRPr="00B1350C">
              <w:rPr>
                <w:rFonts w:ascii="Times New Roman" w:hAnsi="Times New Roman" w:cs="Times New Roman"/>
                <w:b/>
                <w:sz w:val="22"/>
                <w:szCs w:val="22"/>
              </w:rPr>
              <w:t> </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F94398">
            <w:pPr>
              <w:rPr>
                <w:rFonts w:ascii="Times New Roman" w:hAnsi="Times New Roman" w:cs="Times New Roman"/>
                <w:b/>
                <w:sz w:val="22"/>
                <w:szCs w:val="22"/>
              </w:rPr>
            </w:pPr>
            <w:r w:rsidRPr="00B1350C">
              <w:rPr>
                <w:rFonts w:ascii="Times New Roman" w:hAnsi="Times New Roman" w:cs="Times New Roman"/>
                <w:b/>
                <w:sz w:val="22"/>
                <w:szCs w:val="22"/>
              </w:rPr>
              <w:t> </w:t>
            </w:r>
          </w:p>
        </w:tc>
        <w:tc>
          <w:tcPr>
            <w:tcW w:w="745" w:type="pct"/>
            <w:tcBorders>
              <w:top w:val="nil"/>
              <w:left w:val="nil"/>
              <w:bottom w:val="single" w:sz="4" w:space="0" w:color="auto"/>
              <w:right w:val="single" w:sz="8" w:space="0" w:color="auto"/>
            </w:tcBorders>
            <w:shd w:val="clear" w:color="auto" w:fill="auto"/>
            <w:vAlign w:val="center"/>
            <w:hideMark/>
          </w:tcPr>
          <w:p w:rsidR="00B1350C" w:rsidRPr="00B1350C" w:rsidRDefault="00B1350C" w:rsidP="00F94398">
            <w:pPr>
              <w:jc w:val="right"/>
              <w:rPr>
                <w:rFonts w:ascii="Times New Roman" w:hAnsi="Times New Roman" w:cs="Times New Roman"/>
                <w:b/>
                <w:sz w:val="22"/>
                <w:szCs w:val="22"/>
              </w:rPr>
            </w:pPr>
            <w:r w:rsidRPr="00B1350C">
              <w:rPr>
                <w:rFonts w:ascii="Times New Roman" w:hAnsi="Times New Roman" w:cs="Times New Roman"/>
                <w:b/>
                <w:sz w:val="22"/>
                <w:szCs w:val="22"/>
              </w:rPr>
              <w:t>1 754 900</w:t>
            </w:r>
          </w:p>
        </w:tc>
      </w:tr>
    </w:tbl>
    <w:p w:rsidR="00BD6637" w:rsidRDefault="00BD6637" w:rsidP="00A757CC">
      <w:pPr>
        <w:rPr>
          <w:rFonts w:ascii="Times New Roman" w:hAnsi="Times New Roman" w:cs="Times New Roman"/>
          <w:b/>
          <w:i/>
        </w:rPr>
      </w:pPr>
    </w:p>
    <w:p w:rsidR="00B1350C" w:rsidRDefault="00B1350C" w:rsidP="00A757CC">
      <w:pPr>
        <w:rPr>
          <w:rFonts w:ascii="Times New Roman" w:hAnsi="Times New Roman" w:cs="Times New Roman"/>
          <w:b/>
          <w:i/>
        </w:rPr>
      </w:pPr>
    </w:p>
    <w:tbl>
      <w:tblPr>
        <w:tblW w:w="5000" w:type="pct"/>
        <w:tblCellMar>
          <w:left w:w="70" w:type="dxa"/>
          <w:right w:w="70" w:type="dxa"/>
        </w:tblCellMar>
        <w:tblLook w:val="04A0" w:firstRow="1" w:lastRow="0" w:firstColumn="1" w:lastColumn="0" w:noHBand="0" w:noVBand="1"/>
      </w:tblPr>
      <w:tblGrid>
        <w:gridCol w:w="4416"/>
        <w:gridCol w:w="1011"/>
        <w:gridCol w:w="972"/>
        <w:gridCol w:w="1566"/>
        <w:gridCol w:w="1364"/>
      </w:tblGrid>
      <w:tr w:rsidR="00B1350C" w:rsidRPr="00B1350C" w:rsidTr="00F94398">
        <w:trPr>
          <w:trHeight w:val="2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1350C" w:rsidRPr="00B1350C" w:rsidRDefault="00B1350C" w:rsidP="00F94398">
            <w:pPr>
              <w:rPr>
                <w:rFonts w:ascii="Times New Roman" w:hAnsi="Times New Roman" w:cs="Times New Roman"/>
                <w:b/>
                <w:sz w:val="22"/>
                <w:szCs w:val="22"/>
              </w:rPr>
            </w:pPr>
            <w:r w:rsidRPr="00B1350C">
              <w:rPr>
                <w:rFonts w:ascii="Times New Roman" w:hAnsi="Times New Roman" w:cs="Times New Roman"/>
                <w:b/>
                <w:sz w:val="22"/>
                <w:szCs w:val="22"/>
              </w:rPr>
              <w:t>Activité 2 : Superviser une fois par trimestre les agents de santé sur la lutte contre la malnutrition</w:t>
            </w:r>
          </w:p>
        </w:tc>
      </w:tr>
      <w:tr w:rsidR="00B1350C" w:rsidRPr="00B1350C" w:rsidTr="00F94398">
        <w:trPr>
          <w:trHeight w:val="20"/>
        </w:trPr>
        <w:tc>
          <w:tcPr>
            <w:tcW w:w="2381" w:type="pct"/>
            <w:tcBorders>
              <w:top w:val="nil"/>
              <w:left w:val="single" w:sz="8" w:space="0" w:color="auto"/>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Désignation</w:t>
            </w:r>
          </w:p>
        </w:tc>
        <w:tc>
          <w:tcPr>
            <w:tcW w:w="556"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Nuitée</w:t>
            </w:r>
          </w:p>
        </w:tc>
        <w:tc>
          <w:tcPr>
            <w:tcW w:w="465"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Quantité</w:t>
            </w:r>
          </w:p>
        </w:tc>
        <w:tc>
          <w:tcPr>
            <w:tcW w:w="853"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PU</w:t>
            </w:r>
          </w:p>
        </w:tc>
        <w:tc>
          <w:tcPr>
            <w:tcW w:w="745"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Montant</w:t>
            </w:r>
          </w:p>
        </w:tc>
      </w:tr>
      <w:tr w:rsidR="00B1350C" w:rsidRPr="00B1350C" w:rsidTr="00F94398">
        <w:trPr>
          <w:trHeight w:val="20"/>
        </w:trPr>
        <w:tc>
          <w:tcPr>
            <w:tcW w:w="4255"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Prise en charge</w:t>
            </w:r>
          </w:p>
        </w:tc>
        <w:tc>
          <w:tcPr>
            <w:tcW w:w="745" w:type="pct"/>
            <w:tcBorders>
              <w:top w:val="nil"/>
              <w:left w:val="nil"/>
              <w:bottom w:val="single" w:sz="4" w:space="0" w:color="auto"/>
              <w:right w:val="single" w:sz="8" w:space="0" w:color="auto"/>
            </w:tcBorders>
            <w:shd w:val="clear" w:color="auto" w:fill="auto"/>
            <w:vAlign w:val="center"/>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810 000</w:t>
            </w:r>
          </w:p>
        </w:tc>
      </w:tr>
      <w:tr w:rsidR="00B1350C" w:rsidRPr="00B1350C" w:rsidTr="00F94398">
        <w:trPr>
          <w:trHeight w:val="20"/>
        </w:trPr>
        <w:tc>
          <w:tcPr>
            <w:tcW w:w="2381" w:type="pct"/>
            <w:tcBorders>
              <w:top w:val="nil"/>
              <w:left w:val="single" w:sz="8" w:space="0" w:color="auto"/>
              <w:bottom w:val="single" w:sz="4" w:space="0" w:color="auto"/>
              <w:right w:val="single" w:sz="4" w:space="0" w:color="auto"/>
            </w:tcBorders>
            <w:shd w:val="clear" w:color="auto" w:fill="auto"/>
            <w:vAlign w:val="center"/>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ECD</w:t>
            </w:r>
          </w:p>
        </w:tc>
        <w:tc>
          <w:tcPr>
            <w:tcW w:w="556" w:type="pct"/>
            <w:tcBorders>
              <w:top w:val="nil"/>
              <w:left w:val="nil"/>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18</w:t>
            </w:r>
          </w:p>
        </w:tc>
        <w:tc>
          <w:tcPr>
            <w:tcW w:w="465" w:type="pct"/>
            <w:tcBorders>
              <w:top w:val="nil"/>
              <w:left w:val="nil"/>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4</w:t>
            </w:r>
          </w:p>
        </w:tc>
        <w:tc>
          <w:tcPr>
            <w:tcW w:w="853" w:type="pct"/>
            <w:tcBorders>
              <w:top w:val="nil"/>
              <w:left w:val="nil"/>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10 000</w:t>
            </w:r>
          </w:p>
        </w:tc>
        <w:tc>
          <w:tcPr>
            <w:tcW w:w="745" w:type="pct"/>
            <w:tcBorders>
              <w:top w:val="nil"/>
              <w:left w:val="nil"/>
              <w:bottom w:val="single" w:sz="4" w:space="0" w:color="auto"/>
              <w:right w:val="single" w:sz="8" w:space="0" w:color="auto"/>
            </w:tcBorders>
            <w:shd w:val="clear" w:color="auto" w:fill="auto"/>
            <w:vAlign w:val="center"/>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720 000</w:t>
            </w:r>
          </w:p>
        </w:tc>
      </w:tr>
      <w:tr w:rsidR="00B1350C" w:rsidRPr="00B1350C" w:rsidTr="00F94398">
        <w:trPr>
          <w:trHeight w:val="20"/>
        </w:trPr>
        <w:tc>
          <w:tcPr>
            <w:tcW w:w="2381" w:type="pct"/>
            <w:tcBorders>
              <w:top w:val="nil"/>
              <w:left w:val="single" w:sz="8" w:space="0" w:color="auto"/>
              <w:bottom w:val="single" w:sz="4" w:space="0" w:color="auto"/>
              <w:right w:val="single" w:sz="4" w:space="0" w:color="auto"/>
            </w:tcBorders>
            <w:shd w:val="clear" w:color="auto" w:fill="auto"/>
            <w:vAlign w:val="center"/>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Chauffeur</w:t>
            </w:r>
          </w:p>
        </w:tc>
        <w:tc>
          <w:tcPr>
            <w:tcW w:w="556" w:type="pct"/>
            <w:tcBorders>
              <w:top w:val="nil"/>
              <w:left w:val="nil"/>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18</w:t>
            </w:r>
          </w:p>
        </w:tc>
        <w:tc>
          <w:tcPr>
            <w:tcW w:w="465" w:type="pct"/>
            <w:tcBorders>
              <w:top w:val="nil"/>
              <w:left w:val="nil"/>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1</w:t>
            </w:r>
          </w:p>
        </w:tc>
        <w:tc>
          <w:tcPr>
            <w:tcW w:w="853" w:type="pct"/>
            <w:tcBorders>
              <w:top w:val="nil"/>
              <w:left w:val="nil"/>
              <w:bottom w:val="single" w:sz="4" w:space="0" w:color="auto"/>
              <w:right w:val="single" w:sz="4" w:space="0" w:color="auto"/>
            </w:tcBorders>
            <w:shd w:val="clear" w:color="auto" w:fill="auto"/>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5 000</w:t>
            </w:r>
          </w:p>
        </w:tc>
        <w:tc>
          <w:tcPr>
            <w:tcW w:w="745" w:type="pct"/>
            <w:tcBorders>
              <w:top w:val="nil"/>
              <w:left w:val="nil"/>
              <w:bottom w:val="single" w:sz="4" w:space="0" w:color="auto"/>
              <w:right w:val="single" w:sz="8" w:space="0" w:color="auto"/>
            </w:tcBorders>
            <w:shd w:val="clear" w:color="auto" w:fill="auto"/>
            <w:vAlign w:val="center"/>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90 000</w:t>
            </w:r>
          </w:p>
        </w:tc>
      </w:tr>
      <w:tr w:rsidR="00B1350C" w:rsidRPr="00B1350C" w:rsidTr="00F94398">
        <w:trPr>
          <w:trHeight w:val="20"/>
        </w:trPr>
        <w:tc>
          <w:tcPr>
            <w:tcW w:w="4255"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B1350C" w:rsidRPr="00B1350C" w:rsidRDefault="00B1350C" w:rsidP="00B1350C">
            <w:pPr>
              <w:rPr>
                <w:rFonts w:ascii="Times New Roman" w:hAnsi="Times New Roman" w:cs="Times New Roman"/>
                <w:sz w:val="22"/>
                <w:szCs w:val="22"/>
              </w:rPr>
            </w:pPr>
            <w:r w:rsidRPr="00B1350C">
              <w:rPr>
                <w:rFonts w:ascii="Times New Roman" w:hAnsi="Times New Roman" w:cs="Times New Roman"/>
                <w:sz w:val="22"/>
                <w:szCs w:val="22"/>
              </w:rPr>
              <w:t>Carburant</w:t>
            </w:r>
          </w:p>
        </w:tc>
        <w:tc>
          <w:tcPr>
            <w:tcW w:w="745" w:type="pct"/>
            <w:tcBorders>
              <w:top w:val="nil"/>
              <w:left w:val="nil"/>
              <w:bottom w:val="single" w:sz="4" w:space="0" w:color="auto"/>
              <w:right w:val="single" w:sz="8" w:space="0" w:color="auto"/>
            </w:tcBorders>
            <w:shd w:val="clear" w:color="auto" w:fill="auto"/>
            <w:noWrap/>
            <w:vAlign w:val="center"/>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240 000</w:t>
            </w:r>
          </w:p>
        </w:tc>
      </w:tr>
      <w:tr w:rsidR="00B1350C" w:rsidRPr="00B1350C" w:rsidTr="00F94398">
        <w:trPr>
          <w:trHeight w:val="20"/>
        </w:trPr>
        <w:tc>
          <w:tcPr>
            <w:tcW w:w="2381" w:type="pct"/>
            <w:tcBorders>
              <w:top w:val="nil"/>
              <w:left w:val="single" w:sz="8" w:space="0" w:color="auto"/>
              <w:bottom w:val="single" w:sz="4" w:space="0" w:color="auto"/>
              <w:right w:val="single" w:sz="4" w:space="0" w:color="auto"/>
            </w:tcBorders>
            <w:shd w:val="clear" w:color="auto" w:fill="auto"/>
            <w:vAlign w:val="center"/>
            <w:hideMark/>
          </w:tcPr>
          <w:p w:rsidR="00B1350C" w:rsidRPr="00B1350C" w:rsidRDefault="00B1350C" w:rsidP="00F94398">
            <w:pPr>
              <w:rPr>
                <w:rFonts w:ascii="Times New Roman" w:hAnsi="Times New Roman" w:cs="Times New Roman"/>
                <w:sz w:val="22"/>
                <w:szCs w:val="22"/>
              </w:rPr>
            </w:pPr>
            <w:r w:rsidRPr="00B1350C">
              <w:rPr>
                <w:rFonts w:ascii="Times New Roman" w:hAnsi="Times New Roman" w:cs="Times New Roman"/>
                <w:sz w:val="22"/>
                <w:szCs w:val="22"/>
              </w:rPr>
              <w:t>Carburant ECD</w:t>
            </w:r>
          </w:p>
        </w:tc>
        <w:tc>
          <w:tcPr>
            <w:tcW w:w="556"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1</w:t>
            </w:r>
          </w:p>
        </w:tc>
        <w:tc>
          <w:tcPr>
            <w:tcW w:w="465"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2400</w:t>
            </w:r>
          </w:p>
        </w:tc>
        <w:tc>
          <w:tcPr>
            <w:tcW w:w="853"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sz w:val="22"/>
                <w:szCs w:val="22"/>
              </w:rPr>
            </w:pPr>
            <w:r w:rsidRPr="00B1350C">
              <w:rPr>
                <w:rFonts w:ascii="Times New Roman" w:hAnsi="Times New Roman" w:cs="Times New Roman"/>
                <w:sz w:val="22"/>
                <w:szCs w:val="22"/>
              </w:rPr>
              <w:t>100</w:t>
            </w:r>
          </w:p>
        </w:tc>
        <w:tc>
          <w:tcPr>
            <w:tcW w:w="745" w:type="pct"/>
            <w:tcBorders>
              <w:top w:val="nil"/>
              <w:left w:val="nil"/>
              <w:bottom w:val="single" w:sz="4" w:space="0" w:color="auto"/>
              <w:right w:val="single" w:sz="8" w:space="0" w:color="auto"/>
            </w:tcBorders>
            <w:shd w:val="clear" w:color="auto" w:fill="auto"/>
            <w:noWrap/>
            <w:vAlign w:val="center"/>
            <w:hideMark/>
          </w:tcPr>
          <w:p w:rsidR="00B1350C" w:rsidRPr="00B1350C" w:rsidRDefault="00B1350C" w:rsidP="00F94398">
            <w:pPr>
              <w:jc w:val="right"/>
              <w:rPr>
                <w:rFonts w:ascii="Times New Roman" w:hAnsi="Times New Roman" w:cs="Times New Roman"/>
                <w:sz w:val="22"/>
                <w:szCs w:val="22"/>
              </w:rPr>
            </w:pPr>
            <w:r w:rsidRPr="00B1350C">
              <w:rPr>
                <w:rFonts w:ascii="Times New Roman" w:hAnsi="Times New Roman" w:cs="Times New Roman"/>
                <w:sz w:val="22"/>
                <w:szCs w:val="22"/>
              </w:rPr>
              <w:t>240 000</w:t>
            </w:r>
          </w:p>
        </w:tc>
      </w:tr>
      <w:tr w:rsidR="00B1350C" w:rsidRPr="00B1350C" w:rsidTr="00F94398">
        <w:trPr>
          <w:trHeight w:val="20"/>
        </w:trPr>
        <w:tc>
          <w:tcPr>
            <w:tcW w:w="2381" w:type="pct"/>
            <w:tcBorders>
              <w:top w:val="nil"/>
              <w:left w:val="single" w:sz="8" w:space="0" w:color="auto"/>
              <w:bottom w:val="single" w:sz="4" w:space="0" w:color="auto"/>
              <w:right w:val="single" w:sz="4" w:space="0" w:color="auto"/>
            </w:tcBorders>
            <w:shd w:val="clear" w:color="auto" w:fill="auto"/>
            <w:vAlign w:val="center"/>
            <w:hideMark/>
          </w:tcPr>
          <w:p w:rsidR="00B1350C" w:rsidRPr="00B1350C" w:rsidRDefault="00B1350C" w:rsidP="00F94398">
            <w:pPr>
              <w:rPr>
                <w:rFonts w:ascii="Times New Roman" w:hAnsi="Times New Roman" w:cs="Times New Roman"/>
                <w:b/>
                <w:i/>
                <w:sz w:val="22"/>
                <w:szCs w:val="22"/>
              </w:rPr>
            </w:pPr>
            <w:r w:rsidRPr="00B1350C">
              <w:rPr>
                <w:rFonts w:ascii="Times New Roman" w:hAnsi="Times New Roman" w:cs="Times New Roman"/>
                <w:b/>
                <w:i/>
                <w:sz w:val="22"/>
                <w:szCs w:val="22"/>
              </w:rPr>
              <w:t>Sous total semestre</w:t>
            </w:r>
          </w:p>
        </w:tc>
        <w:tc>
          <w:tcPr>
            <w:tcW w:w="556"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i/>
                <w:sz w:val="22"/>
                <w:szCs w:val="22"/>
              </w:rPr>
            </w:pPr>
          </w:p>
        </w:tc>
        <w:tc>
          <w:tcPr>
            <w:tcW w:w="465"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i/>
                <w:sz w:val="22"/>
                <w:szCs w:val="22"/>
              </w:rPr>
            </w:pPr>
          </w:p>
        </w:tc>
        <w:tc>
          <w:tcPr>
            <w:tcW w:w="853" w:type="pct"/>
            <w:tcBorders>
              <w:top w:val="nil"/>
              <w:left w:val="nil"/>
              <w:bottom w:val="single" w:sz="4" w:space="0" w:color="auto"/>
              <w:right w:val="single" w:sz="4" w:space="0" w:color="auto"/>
            </w:tcBorders>
            <w:shd w:val="clear" w:color="auto" w:fill="auto"/>
            <w:noWrap/>
            <w:vAlign w:val="center"/>
            <w:hideMark/>
          </w:tcPr>
          <w:p w:rsidR="00B1350C" w:rsidRPr="00B1350C" w:rsidRDefault="00B1350C" w:rsidP="00B1350C">
            <w:pPr>
              <w:jc w:val="center"/>
              <w:rPr>
                <w:rFonts w:ascii="Times New Roman" w:hAnsi="Times New Roman" w:cs="Times New Roman"/>
                <w:b/>
                <w:i/>
                <w:sz w:val="22"/>
                <w:szCs w:val="22"/>
              </w:rPr>
            </w:pPr>
          </w:p>
        </w:tc>
        <w:tc>
          <w:tcPr>
            <w:tcW w:w="745" w:type="pct"/>
            <w:tcBorders>
              <w:top w:val="nil"/>
              <w:left w:val="nil"/>
              <w:bottom w:val="single" w:sz="4" w:space="0" w:color="auto"/>
              <w:right w:val="single" w:sz="8" w:space="0" w:color="auto"/>
            </w:tcBorders>
            <w:shd w:val="clear" w:color="auto" w:fill="auto"/>
            <w:noWrap/>
            <w:vAlign w:val="center"/>
            <w:hideMark/>
          </w:tcPr>
          <w:p w:rsidR="00B1350C" w:rsidRPr="00B1350C" w:rsidRDefault="00B1350C" w:rsidP="00F94398">
            <w:pPr>
              <w:jc w:val="right"/>
              <w:rPr>
                <w:rFonts w:ascii="Times New Roman" w:hAnsi="Times New Roman" w:cs="Times New Roman"/>
                <w:b/>
                <w:i/>
                <w:sz w:val="22"/>
                <w:szCs w:val="22"/>
              </w:rPr>
            </w:pPr>
            <w:r w:rsidRPr="00B1350C">
              <w:rPr>
                <w:rFonts w:ascii="Times New Roman" w:hAnsi="Times New Roman" w:cs="Times New Roman"/>
                <w:b/>
                <w:i/>
                <w:sz w:val="22"/>
                <w:szCs w:val="22"/>
              </w:rPr>
              <w:t>1 050 000</w:t>
            </w:r>
          </w:p>
        </w:tc>
      </w:tr>
      <w:tr w:rsidR="00B1350C" w:rsidRPr="00B1350C" w:rsidTr="00F94398">
        <w:trPr>
          <w:trHeight w:val="20"/>
        </w:trPr>
        <w:tc>
          <w:tcPr>
            <w:tcW w:w="2381" w:type="pct"/>
            <w:tcBorders>
              <w:top w:val="nil"/>
              <w:left w:val="single" w:sz="8" w:space="0" w:color="auto"/>
              <w:bottom w:val="single" w:sz="4" w:space="0" w:color="auto"/>
              <w:right w:val="single" w:sz="4" w:space="0" w:color="auto"/>
            </w:tcBorders>
            <w:shd w:val="clear" w:color="auto" w:fill="auto"/>
            <w:vAlign w:val="center"/>
            <w:hideMark/>
          </w:tcPr>
          <w:p w:rsidR="00B1350C" w:rsidRPr="00B1350C" w:rsidRDefault="00B1350C" w:rsidP="00F94398">
            <w:pPr>
              <w:rPr>
                <w:rFonts w:ascii="Times New Roman" w:hAnsi="Times New Roman" w:cs="Times New Roman"/>
                <w:b/>
                <w:sz w:val="22"/>
                <w:szCs w:val="22"/>
              </w:rPr>
            </w:pPr>
            <w:r w:rsidRPr="00B1350C">
              <w:rPr>
                <w:rFonts w:ascii="Times New Roman" w:hAnsi="Times New Roman" w:cs="Times New Roman"/>
                <w:b/>
                <w:sz w:val="22"/>
                <w:szCs w:val="22"/>
              </w:rPr>
              <w:t xml:space="preserve">TOTAL </w:t>
            </w:r>
            <w:r>
              <w:rPr>
                <w:rFonts w:ascii="Times New Roman" w:hAnsi="Times New Roman" w:cs="Times New Roman"/>
                <w:b/>
                <w:sz w:val="22"/>
                <w:szCs w:val="22"/>
              </w:rPr>
              <w:t>ANNEE</w:t>
            </w:r>
          </w:p>
        </w:tc>
        <w:tc>
          <w:tcPr>
            <w:tcW w:w="556"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p>
        </w:tc>
        <w:tc>
          <w:tcPr>
            <w:tcW w:w="465"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r w:rsidRPr="00B1350C">
              <w:rPr>
                <w:rFonts w:ascii="Times New Roman" w:hAnsi="Times New Roman" w:cs="Times New Roman"/>
                <w:b/>
                <w:sz w:val="22"/>
                <w:szCs w:val="22"/>
              </w:rPr>
              <w:t>4</w:t>
            </w:r>
          </w:p>
        </w:tc>
        <w:tc>
          <w:tcPr>
            <w:tcW w:w="853" w:type="pct"/>
            <w:tcBorders>
              <w:top w:val="nil"/>
              <w:left w:val="nil"/>
              <w:bottom w:val="single" w:sz="4" w:space="0" w:color="auto"/>
              <w:right w:val="single" w:sz="4" w:space="0" w:color="auto"/>
            </w:tcBorders>
            <w:shd w:val="clear" w:color="auto" w:fill="auto"/>
            <w:noWrap/>
            <w:vAlign w:val="bottom"/>
            <w:hideMark/>
          </w:tcPr>
          <w:p w:rsidR="00B1350C" w:rsidRPr="00B1350C" w:rsidRDefault="00B1350C" w:rsidP="00B1350C">
            <w:pPr>
              <w:jc w:val="center"/>
              <w:rPr>
                <w:rFonts w:ascii="Times New Roman" w:hAnsi="Times New Roman" w:cs="Times New Roman"/>
                <w:b/>
                <w:sz w:val="22"/>
                <w:szCs w:val="22"/>
              </w:rPr>
            </w:pPr>
          </w:p>
        </w:tc>
        <w:tc>
          <w:tcPr>
            <w:tcW w:w="745" w:type="pct"/>
            <w:tcBorders>
              <w:top w:val="nil"/>
              <w:left w:val="nil"/>
              <w:bottom w:val="single" w:sz="4" w:space="0" w:color="auto"/>
              <w:right w:val="single" w:sz="8" w:space="0" w:color="auto"/>
            </w:tcBorders>
            <w:shd w:val="clear" w:color="auto" w:fill="auto"/>
            <w:vAlign w:val="center"/>
            <w:hideMark/>
          </w:tcPr>
          <w:p w:rsidR="00B1350C" w:rsidRPr="00B1350C" w:rsidRDefault="00B1350C" w:rsidP="00F94398">
            <w:pPr>
              <w:jc w:val="right"/>
              <w:rPr>
                <w:rFonts w:ascii="Times New Roman" w:hAnsi="Times New Roman" w:cs="Times New Roman"/>
                <w:b/>
                <w:sz w:val="22"/>
                <w:szCs w:val="22"/>
              </w:rPr>
            </w:pPr>
            <w:r w:rsidRPr="00B1350C">
              <w:rPr>
                <w:rFonts w:ascii="Times New Roman" w:hAnsi="Times New Roman" w:cs="Times New Roman"/>
                <w:b/>
                <w:sz w:val="22"/>
                <w:szCs w:val="22"/>
              </w:rPr>
              <w:t>4 200 000</w:t>
            </w:r>
          </w:p>
        </w:tc>
      </w:tr>
    </w:tbl>
    <w:p w:rsidR="00B1350C" w:rsidRDefault="00B1350C" w:rsidP="00A757CC">
      <w:pPr>
        <w:rPr>
          <w:rFonts w:ascii="Times New Roman" w:hAnsi="Times New Roman" w:cs="Times New Roman"/>
          <w:b/>
          <w:i/>
        </w:rPr>
      </w:pPr>
    </w:p>
    <w:p w:rsidR="00463D44" w:rsidRDefault="00463D44" w:rsidP="00A757CC">
      <w:pPr>
        <w:rPr>
          <w:rFonts w:ascii="Times New Roman" w:hAnsi="Times New Roman" w:cs="Times New Roman"/>
          <w:b/>
          <w:i/>
        </w:rPr>
      </w:pPr>
    </w:p>
    <w:tbl>
      <w:tblPr>
        <w:tblW w:w="5000" w:type="pct"/>
        <w:tblCellMar>
          <w:left w:w="70" w:type="dxa"/>
          <w:right w:w="70" w:type="dxa"/>
        </w:tblCellMar>
        <w:tblLook w:val="04A0" w:firstRow="1" w:lastRow="0" w:firstColumn="1" w:lastColumn="0" w:noHBand="0" w:noVBand="1"/>
      </w:tblPr>
      <w:tblGrid>
        <w:gridCol w:w="4265"/>
        <w:gridCol w:w="860"/>
        <w:gridCol w:w="1043"/>
        <w:gridCol w:w="1946"/>
        <w:gridCol w:w="1215"/>
      </w:tblGrid>
      <w:tr w:rsidR="00463D44" w:rsidRPr="00463D44" w:rsidTr="00463D44">
        <w:trPr>
          <w:trHeight w:val="2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63D44" w:rsidRPr="00463D44" w:rsidRDefault="00463D44" w:rsidP="00F94398">
            <w:pPr>
              <w:rPr>
                <w:rFonts w:ascii="Arial Narrow" w:hAnsi="Arial Narrow" w:cs="Arial"/>
                <w:sz w:val="22"/>
                <w:szCs w:val="22"/>
              </w:rPr>
            </w:pPr>
            <w:r>
              <w:rPr>
                <w:rFonts w:ascii="Times New Roman" w:hAnsi="Times New Roman" w:cs="Times New Roman"/>
                <w:b/>
                <w:sz w:val="22"/>
                <w:szCs w:val="22"/>
              </w:rPr>
              <w:t xml:space="preserve">Activité 3 : </w:t>
            </w:r>
            <w:r w:rsidRPr="00463D44">
              <w:rPr>
                <w:rFonts w:ascii="Times New Roman" w:hAnsi="Times New Roman" w:cs="Times New Roman"/>
                <w:b/>
                <w:sz w:val="22"/>
                <w:szCs w:val="22"/>
              </w:rPr>
              <w:t>Organiser le monitorage semestriel des activités des formations sanitaires et le monitorage annuel</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Désignation</w:t>
            </w:r>
          </w:p>
        </w:tc>
        <w:tc>
          <w:tcPr>
            <w:tcW w:w="461" w:type="pct"/>
            <w:tcBorders>
              <w:top w:val="nil"/>
              <w:left w:val="nil"/>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Nuitée</w:t>
            </w:r>
          </w:p>
        </w:tc>
        <w:tc>
          <w:tcPr>
            <w:tcW w:w="559" w:type="pct"/>
            <w:tcBorders>
              <w:top w:val="nil"/>
              <w:left w:val="single" w:sz="4" w:space="0" w:color="auto"/>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Quantité</w:t>
            </w:r>
          </w:p>
        </w:tc>
        <w:tc>
          <w:tcPr>
            <w:tcW w:w="1043" w:type="pct"/>
            <w:tcBorders>
              <w:top w:val="nil"/>
              <w:left w:val="single" w:sz="4" w:space="0" w:color="auto"/>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PU</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Montant</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Prises en charge</w:t>
            </w:r>
          </w:p>
        </w:tc>
        <w:tc>
          <w:tcPr>
            <w:tcW w:w="461"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single" w:sz="4" w:space="0" w:color="auto"/>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450 000   </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ECD</w:t>
            </w:r>
          </w:p>
        </w:tc>
        <w:tc>
          <w:tcPr>
            <w:tcW w:w="461"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18</w:t>
            </w:r>
          </w:p>
        </w:tc>
        <w:tc>
          <w:tcPr>
            <w:tcW w:w="559" w:type="pct"/>
            <w:tcBorders>
              <w:top w:val="nil"/>
              <w:left w:val="nil"/>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w:t>
            </w:r>
          </w:p>
        </w:tc>
        <w:tc>
          <w:tcPr>
            <w:tcW w:w="1043" w:type="pct"/>
            <w:tcBorders>
              <w:top w:val="nil"/>
              <w:left w:val="single" w:sz="4" w:space="0" w:color="auto"/>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10 000</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360 000   </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Chauffeur</w:t>
            </w:r>
          </w:p>
        </w:tc>
        <w:tc>
          <w:tcPr>
            <w:tcW w:w="461"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18</w:t>
            </w:r>
          </w:p>
        </w:tc>
        <w:tc>
          <w:tcPr>
            <w:tcW w:w="559"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90 000   </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Carburant</w:t>
            </w:r>
          </w:p>
        </w:tc>
        <w:tc>
          <w:tcPr>
            <w:tcW w:w="461"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2 400</w:t>
            </w:r>
          </w:p>
        </w:tc>
        <w:tc>
          <w:tcPr>
            <w:tcW w:w="1043" w:type="pct"/>
            <w:tcBorders>
              <w:top w:val="nil"/>
              <w:left w:val="nil"/>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100</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240 000   </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Sous total semestre</w:t>
            </w:r>
          </w:p>
        </w:tc>
        <w:tc>
          <w:tcPr>
            <w:tcW w:w="461" w:type="pct"/>
            <w:tcBorders>
              <w:top w:val="nil"/>
              <w:left w:val="nil"/>
              <w:bottom w:val="single" w:sz="4" w:space="0" w:color="auto"/>
              <w:right w:val="single" w:sz="4" w:space="0" w:color="auto"/>
            </w:tcBorders>
            <w:shd w:val="clear" w:color="auto" w:fill="auto"/>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single" w:sz="4" w:space="0" w:color="auto"/>
              <w:bottom w:val="single" w:sz="4" w:space="0" w:color="auto"/>
              <w:right w:val="nil"/>
            </w:tcBorders>
            <w:shd w:val="clear" w:color="auto" w:fill="auto"/>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690 000   </w:t>
            </w:r>
          </w:p>
        </w:tc>
      </w:tr>
      <w:tr w:rsidR="00463D44" w:rsidRPr="00463D44" w:rsidTr="00463D44">
        <w:trPr>
          <w:trHeight w:val="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463D44" w:rsidRPr="00463D44" w:rsidRDefault="00463D44" w:rsidP="00F94398">
            <w:pPr>
              <w:rPr>
                <w:rFonts w:ascii="Arial Narrow" w:hAnsi="Arial Narrow" w:cs="Arial"/>
                <w:b/>
                <w:sz w:val="22"/>
                <w:szCs w:val="22"/>
              </w:rPr>
            </w:pPr>
            <w:r w:rsidRPr="00463D44">
              <w:rPr>
                <w:rFonts w:ascii="Arial Narrow" w:hAnsi="Arial Narrow" w:cs="Arial"/>
                <w:b/>
                <w:sz w:val="22"/>
                <w:szCs w:val="22"/>
              </w:rPr>
              <w:t>TOTAL GENERAL</w:t>
            </w:r>
          </w:p>
        </w:tc>
        <w:tc>
          <w:tcPr>
            <w:tcW w:w="461" w:type="pct"/>
            <w:tcBorders>
              <w:top w:val="nil"/>
              <w:left w:val="single" w:sz="8" w:space="0" w:color="auto"/>
              <w:bottom w:val="single" w:sz="4" w:space="0" w:color="auto"/>
              <w:right w:val="single" w:sz="4" w:space="0" w:color="auto"/>
            </w:tcBorders>
            <w:shd w:val="clear" w:color="auto" w:fill="auto"/>
            <w:vAlign w:val="center"/>
            <w:hideMark/>
          </w:tcPr>
          <w:p w:rsidR="00463D44" w:rsidRPr="00463D44" w:rsidRDefault="00463D44" w:rsidP="00463D44">
            <w:pPr>
              <w:jc w:val="center"/>
              <w:rPr>
                <w:rFonts w:ascii="Arial Narrow" w:hAnsi="Arial Narrow" w:cs="Arial"/>
                <w:b/>
                <w:sz w:val="22"/>
                <w:szCs w:val="22"/>
              </w:rPr>
            </w:pPr>
          </w:p>
        </w:tc>
        <w:tc>
          <w:tcPr>
            <w:tcW w:w="559" w:type="pct"/>
            <w:tcBorders>
              <w:top w:val="nil"/>
              <w:left w:val="single" w:sz="8" w:space="0" w:color="auto"/>
              <w:bottom w:val="single" w:sz="4" w:space="0" w:color="auto"/>
              <w:right w:val="single" w:sz="4" w:space="0" w:color="auto"/>
            </w:tcBorders>
            <w:shd w:val="clear" w:color="auto" w:fill="auto"/>
            <w:vAlign w:val="center"/>
            <w:hideMark/>
          </w:tcPr>
          <w:p w:rsidR="00463D44" w:rsidRPr="00463D44" w:rsidRDefault="00463D44" w:rsidP="00463D44">
            <w:pPr>
              <w:jc w:val="center"/>
              <w:rPr>
                <w:rFonts w:ascii="Arial Narrow" w:hAnsi="Arial Narrow" w:cs="Arial"/>
                <w:b/>
                <w:sz w:val="22"/>
                <w:szCs w:val="22"/>
              </w:rPr>
            </w:pPr>
          </w:p>
        </w:tc>
        <w:tc>
          <w:tcPr>
            <w:tcW w:w="1043" w:type="pct"/>
            <w:tcBorders>
              <w:top w:val="nil"/>
              <w:left w:val="single" w:sz="8" w:space="0" w:color="auto"/>
              <w:bottom w:val="single" w:sz="4" w:space="0" w:color="auto"/>
              <w:right w:val="single" w:sz="4" w:space="0" w:color="auto"/>
            </w:tcBorders>
            <w:shd w:val="clear" w:color="auto" w:fill="auto"/>
            <w:vAlign w:val="center"/>
            <w:hideMark/>
          </w:tcPr>
          <w:p w:rsidR="00463D44" w:rsidRPr="00463D44" w:rsidRDefault="00463D44" w:rsidP="00463D44">
            <w:pPr>
              <w:jc w:val="center"/>
              <w:rPr>
                <w:rFonts w:ascii="Arial Narrow" w:hAnsi="Arial Narrow" w:cs="Arial"/>
                <w:b/>
                <w:sz w:val="22"/>
                <w:szCs w:val="22"/>
              </w:rPr>
            </w:pPr>
          </w:p>
        </w:tc>
        <w:tc>
          <w:tcPr>
            <w:tcW w:w="651" w:type="pct"/>
            <w:tcBorders>
              <w:top w:val="nil"/>
              <w:left w:val="nil"/>
              <w:bottom w:val="single" w:sz="4" w:space="0" w:color="auto"/>
              <w:right w:val="single" w:sz="8" w:space="0" w:color="auto"/>
            </w:tcBorders>
            <w:shd w:val="clear" w:color="auto" w:fill="auto"/>
            <w:noWrap/>
            <w:vAlign w:val="center"/>
            <w:hideMark/>
          </w:tcPr>
          <w:p w:rsidR="00463D44" w:rsidRPr="00463D44" w:rsidRDefault="00463D44" w:rsidP="00F94398">
            <w:pPr>
              <w:jc w:val="right"/>
              <w:rPr>
                <w:rFonts w:ascii="Arial Narrow" w:hAnsi="Arial Narrow" w:cs="Arial"/>
                <w:b/>
                <w:sz w:val="22"/>
                <w:szCs w:val="22"/>
              </w:rPr>
            </w:pPr>
            <w:r w:rsidRPr="00463D44">
              <w:rPr>
                <w:rFonts w:ascii="Arial Narrow" w:hAnsi="Arial Narrow" w:cs="Arial"/>
                <w:b/>
                <w:sz w:val="22"/>
                <w:szCs w:val="22"/>
              </w:rPr>
              <w:t>1 380 000</w:t>
            </w:r>
          </w:p>
        </w:tc>
      </w:tr>
      <w:tr w:rsidR="00463D44" w:rsidRPr="00463D44" w:rsidTr="00463D4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 xml:space="preserve">  Monitorage annuel des activités communautaires </w:t>
            </w:r>
          </w:p>
        </w:tc>
      </w:tr>
      <w:tr w:rsidR="00463D44" w:rsidRPr="00463D44" w:rsidTr="00463D44">
        <w:trPr>
          <w:trHeight w:val="20"/>
        </w:trPr>
        <w:tc>
          <w:tcPr>
            <w:tcW w:w="2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Désignation</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463D44" w:rsidRPr="00463D44" w:rsidRDefault="00463D44" w:rsidP="00463D44">
            <w:pPr>
              <w:jc w:val="center"/>
              <w:rPr>
                <w:rFonts w:ascii="Arial Narrow" w:hAnsi="Arial Narrow" w:cs="Arial"/>
                <w:b/>
                <w:sz w:val="22"/>
                <w:szCs w:val="22"/>
              </w:rPr>
            </w:pPr>
            <w:r>
              <w:rPr>
                <w:rFonts w:ascii="Arial Narrow" w:hAnsi="Arial Narrow" w:cs="Arial"/>
                <w:b/>
                <w:sz w:val="22"/>
                <w:szCs w:val="22"/>
              </w:rPr>
              <w:t>N</w:t>
            </w:r>
            <w:r w:rsidRPr="00463D44">
              <w:rPr>
                <w:rFonts w:ascii="Arial Narrow" w:hAnsi="Arial Narrow" w:cs="Arial"/>
                <w:b/>
                <w:sz w:val="22"/>
                <w:szCs w:val="22"/>
              </w:rPr>
              <w:t>uitées</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Quantité</w:t>
            </w:r>
          </w:p>
        </w:tc>
        <w:tc>
          <w:tcPr>
            <w:tcW w:w="1043" w:type="pct"/>
            <w:tcBorders>
              <w:top w:val="single" w:sz="4" w:space="0" w:color="auto"/>
              <w:left w:val="nil"/>
              <w:bottom w:val="single" w:sz="4" w:space="0" w:color="auto"/>
              <w:right w:val="single" w:sz="4" w:space="0" w:color="auto"/>
            </w:tcBorders>
            <w:shd w:val="clear" w:color="000000" w:fill="FFFFFF"/>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Prix unitaire</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rsidR="00463D44" w:rsidRPr="00463D44" w:rsidRDefault="00463D44" w:rsidP="00463D44">
            <w:pPr>
              <w:jc w:val="center"/>
              <w:rPr>
                <w:rFonts w:ascii="Arial Narrow" w:hAnsi="Arial Narrow" w:cs="Arial"/>
                <w:b/>
                <w:sz w:val="22"/>
                <w:szCs w:val="22"/>
              </w:rPr>
            </w:pPr>
            <w:r w:rsidRPr="00463D44">
              <w:rPr>
                <w:rFonts w:ascii="Arial Narrow" w:hAnsi="Arial Narrow" w:cs="Arial"/>
                <w:b/>
                <w:sz w:val="22"/>
                <w:szCs w:val="22"/>
              </w:rPr>
              <w:t>Montant</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Frais de subsistance</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Formation des enquêteurs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Participants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24</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120 000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Formateurs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12 500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62 500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Administrateur</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7 500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7 500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Cahier de 100 pages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30</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150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4 500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Bics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30</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100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3 000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Carburant pour les enquêteurs pour la formation</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24</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120 000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Pause café et repas pour la formation des enquêteurs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29</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17 500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507 500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i/>
                <w:sz w:val="22"/>
                <w:szCs w:val="22"/>
              </w:rPr>
            </w:pPr>
            <w:r w:rsidRPr="00463D44">
              <w:rPr>
                <w:rFonts w:ascii="Arial Narrow" w:hAnsi="Arial Narrow" w:cs="Arial"/>
                <w:i/>
                <w:sz w:val="22"/>
                <w:szCs w:val="22"/>
              </w:rPr>
              <w:t>Sous total Formation</w:t>
            </w:r>
          </w:p>
        </w:tc>
        <w:tc>
          <w:tcPr>
            <w:tcW w:w="461"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i/>
                <w:sz w:val="22"/>
                <w:szCs w:val="22"/>
              </w:rPr>
            </w:pPr>
            <w:r w:rsidRPr="00463D44">
              <w:rPr>
                <w:rFonts w:ascii="Arial Narrow" w:hAnsi="Arial Narrow" w:cs="Arial"/>
                <w:i/>
                <w:sz w:val="22"/>
                <w:szCs w:val="22"/>
              </w:rPr>
              <w:t> </w:t>
            </w:r>
          </w:p>
        </w:tc>
        <w:tc>
          <w:tcPr>
            <w:tcW w:w="559"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i/>
                <w:sz w:val="22"/>
                <w:szCs w:val="22"/>
              </w:rPr>
            </w:pPr>
            <w:r w:rsidRPr="00463D44">
              <w:rPr>
                <w:rFonts w:ascii="Arial Narrow" w:hAnsi="Arial Narrow" w:cs="Arial"/>
                <w:i/>
                <w:sz w:val="22"/>
                <w:szCs w:val="22"/>
              </w:rPr>
              <w:t> </w:t>
            </w:r>
          </w:p>
        </w:tc>
        <w:tc>
          <w:tcPr>
            <w:tcW w:w="1043"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i/>
                <w:sz w:val="22"/>
                <w:szCs w:val="22"/>
              </w:rPr>
            </w:pPr>
            <w:r w:rsidRPr="00463D44">
              <w:rPr>
                <w:rFonts w:ascii="Arial Narrow" w:hAnsi="Arial Narrow" w:cs="Arial"/>
                <w:i/>
                <w:sz w:val="22"/>
                <w:szCs w:val="22"/>
              </w:rPr>
              <w:t> </w:t>
            </w:r>
          </w:p>
        </w:tc>
        <w:tc>
          <w:tcPr>
            <w:tcW w:w="651" w:type="pct"/>
            <w:tcBorders>
              <w:top w:val="nil"/>
              <w:left w:val="nil"/>
              <w:bottom w:val="single" w:sz="4" w:space="0" w:color="auto"/>
              <w:right w:val="single" w:sz="4" w:space="0" w:color="auto"/>
            </w:tcBorders>
            <w:shd w:val="clear" w:color="000000" w:fill="A6A6A6"/>
            <w:noWrap/>
            <w:vAlign w:val="bottom"/>
            <w:hideMark/>
          </w:tcPr>
          <w:p w:rsidR="00463D44" w:rsidRPr="00463D44" w:rsidRDefault="00463D44" w:rsidP="00F94398">
            <w:pPr>
              <w:jc w:val="right"/>
              <w:rPr>
                <w:rFonts w:ascii="Arial Narrow" w:hAnsi="Arial Narrow" w:cs="Arial"/>
                <w:i/>
                <w:sz w:val="22"/>
                <w:szCs w:val="22"/>
              </w:rPr>
            </w:pPr>
            <w:r w:rsidRPr="00463D44">
              <w:rPr>
                <w:rFonts w:ascii="Arial Narrow" w:hAnsi="Arial Narrow" w:cs="Arial"/>
                <w:i/>
                <w:sz w:val="22"/>
                <w:szCs w:val="22"/>
              </w:rPr>
              <w:t xml:space="preserve">825 000   </w:t>
            </w:r>
          </w:p>
        </w:tc>
      </w:tr>
      <w:tr w:rsidR="00463D44" w:rsidRPr="00463D44" w:rsidTr="00463D4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lastRenderedPageBreak/>
              <w:t>Réalisation de l'enquête</w:t>
            </w:r>
          </w:p>
        </w:tc>
      </w:tr>
      <w:tr w:rsidR="00463D44" w:rsidRPr="00463D44" w:rsidTr="00463D44">
        <w:trPr>
          <w:trHeight w:val="20"/>
        </w:trPr>
        <w:tc>
          <w:tcPr>
            <w:tcW w:w="2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Enquêteurs</w:t>
            </w:r>
          </w:p>
        </w:tc>
        <w:tc>
          <w:tcPr>
            <w:tcW w:w="461" w:type="pct"/>
            <w:tcBorders>
              <w:top w:val="single" w:sz="4" w:space="0" w:color="auto"/>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w:t>
            </w:r>
          </w:p>
        </w:tc>
        <w:tc>
          <w:tcPr>
            <w:tcW w:w="559" w:type="pct"/>
            <w:tcBorders>
              <w:top w:val="single" w:sz="4" w:space="0" w:color="auto"/>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24</w:t>
            </w:r>
          </w:p>
        </w:tc>
        <w:tc>
          <w:tcPr>
            <w:tcW w:w="1043" w:type="pct"/>
            <w:tcBorders>
              <w:top w:val="single" w:sz="4" w:space="0" w:color="auto"/>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single" w:sz="4" w:space="0" w:color="auto"/>
              <w:left w:val="nil"/>
              <w:bottom w:val="single" w:sz="4" w:space="0" w:color="auto"/>
              <w:right w:val="single" w:sz="4" w:space="0" w:color="auto"/>
            </w:tcBorders>
            <w:shd w:val="clear" w:color="000000" w:fill="FFFFFF"/>
            <w:noWrap/>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480 000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Frais de transport pour les enquêteurs (5000 FCFA par équipe et par jour))</w:t>
            </w:r>
          </w:p>
        </w:tc>
        <w:tc>
          <w:tcPr>
            <w:tcW w:w="46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w:t>
            </w: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12</w:t>
            </w:r>
          </w:p>
        </w:tc>
        <w:tc>
          <w:tcPr>
            <w:tcW w:w="1043" w:type="pct"/>
            <w:tcBorders>
              <w:top w:val="nil"/>
              <w:left w:val="nil"/>
              <w:bottom w:val="single" w:sz="4" w:space="0" w:color="auto"/>
              <w:right w:val="single" w:sz="4" w:space="0" w:color="auto"/>
            </w:tcBorders>
            <w:shd w:val="clear" w:color="000000" w:fill="FFFFFF"/>
            <w:noWrap/>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240 000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Rames de papiers pour multiplication des fiches d'enquête</w:t>
            </w:r>
          </w:p>
        </w:tc>
        <w:tc>
          <w:tcPr>
            <w:tcW w:w="46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20</w:t>
            </w:r>
          </w:p>
        </w:tc>
        <w:tc>
          <w:tcPr>
            <w:tcW w:w="1043" w:type="pct"/>
            <w:tcBorders>
              <w:top w:val="nil"/>
              <w:left w:val="nil"/>
              <w:bottom w:val="single" w:sz="4" w:space="0" w:color="auto"/>
              <w:right w:val="single" w:sz="4" w:space="0" w:color="auto"/>
            </w:tcBorders>
            <w:shd w:val="clear" w:color="000000" w:fill="FFFFFF"/>
            <w:noWrap/>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4 000</w:t>
            </w:r>
          </w:p>
        </w:tc>
        <w:tc>
          <w:tcPr>
            <w:tcW w:w="651" w:type="pct"/>
            <w:tcBorders>
              <w:top w:val="nil"/>
              <w:left w:val="nil"/>
              <w:bottom w:val="single" w:sz="4" w:space="0" w:color="auto"/>
              <w:right w:val="single" w:sz="4" w:space="0" w:color="auto"/>
            </w:tcBorders>
            <w:shd w:val="clear" w:color="000000" w:fill="FFFFFF"/>
            <w:noWrap/>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80 000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Encre pour photocopies des fiches d'enquête</w:t>
            </w:r>
          </w:p>
        </w:tc>
        <w:tc>
          <w:tcPr>
            <w:tcW w:w="46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single" w:sz="4" w:space="0" w:color="auto"/>
            </w:tcBorders>
            <w:shd w:val="clear" w:color="000000" w:fill="FFFFFF"/>
            <w:noWrap/>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85 000</w:t>
            </w:r>
          </w:p>
        </w:tc>
        <w:tc>
          <w:tcPr>
            <w:tcW w:w="651" w:type="pct"/>
            <w:tcBorders>
              <w:top w:val="nil"/>
              <w:left w:val="nil"/>
              <w:bottom w:val="single" w:sz="4" w:space="0" w:color="auto"/>
              <w:right w:val="single" w:sz="4" w:space="0" w:color="auto"/>
            </w:tcBorders>
            <w:shd w:val="clear" w:color="000000" w:fill="FFFFFF"/>
            <w:noWrap/>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85 000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Superviseurs des enquêteurs</w:t>
            </w:r>
          </w:p>
        </w:tc>
        <w:tc>
          <w:tcPr>
            <w:tcW w:w="46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w:t>
            </w: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single" w:sz="4" w:space="0" w:color="auto"/>
            </w:tcBorders>
            <w:shd w:val="clear" w:color="000000" w:fill="FFFFFF"/>
            <w:noWrap/>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25 000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Carburant pour la supervision des enquêteurs</w:t>
            </w:r>
          </w:p>
        </w:tc>
        <w:tc>
          <w:tcPr>
            <w:tcW w:w="46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w:t>
            </w: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single" w:sz="4" w:space="0" w:color="auto"/>
            </w:tcBorders>
            <w:shd w:val="clear" w:color="000000" w:fill="FFFFFF"/>
            <w:noWrap/>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10 000</w:t>
            </w:r>
          </w:p>
        </w:tc>
        <w:tc>
          <w:tcPr>
            <w:tcW w:w="651" w:type="pct"/>
            <w:tcBorders>
              <w:top w:val="nil"/>
              <w:left w:val="nil"/>
              <w:bottom w:val="single" w:sz="4" w:space="0" w:color="auto"/>
              <w:right w:val="single" w:sz="4" w:space="0" w:color="auto"/>
            </w:tcBorders>
            <w:shd w:val="clear" w:color="000000" w:fill="FFFFFF"/>
            <w:noWrap/>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   40 000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i/>
                <w:sz w:val="22"/>
                <w:szCs w:val="22"/>
              </w:rPr>
            </w:pPr>
            <w:r w:rsidRPr="00463D44">
              <w:rPr>
                <w:rFonts w:ascii="Arial Narrow" w:hAnsi="Arial Narrow" w:cs="Arial"/>
                <w:i/>
                <w:sz w:val="22"/>
                <w:szCs w:val="22"/>
              </w:rPr>
              <w:t>Sous total Réalisation de l'enquête</w:t>
            </w:r>
          </w:p>
        </w:tc>
        <w:tc>
          <w:tcPr>
            <w:tcW w:w="461"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463D44">
            <w:pPr>
              <w:jc w:val="center"/>
              <w:rPr>
                <w:rFonts w:ascii="Arial Narrow" w:hAnsi="Arial Narrow" w:cs="Arial"/>
                <w:i/>
                <w:sz w:val="22"/>
                <w:szCs w:val="22"/>
              </w:rPr>
            </w:pPr>
          </w:p>
        </w:tc>
        <w:tc>
          <w:tcPr>
            <w:tcW w:w="559"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463D44">
            <w:pPr>
              <w:jc w:val="center"/>
              <w:rPr>
                <w:rFonts w:ascii="Arial Narrow" w:hAnsi="Arial Narrow" w:cs="Arial"/>
                <w:i/>
                <w:sz w:val="22"/>
                <w:szCs w:val="22"/>
              </w:rPr>
            </w:pPr>
          </w:p>
        </w:tc>
        <w:tc>
          <w:tcPr>
            <w:tcW w:w="1043"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463D44">
            <w:pPr>
              <w:jc w:val="center"/>
              <w:rPr>
                <w:rFonts w:ascii="Arial Narrow" w:hAnsi="Arial Narrow" w:cs="Arial"/>
                <w:i/>
                <w:sz w:val="22"/>
                <w:szCs w:val="22"/>
              </w:rPr>
            </w:pPr>
          </w:p>
        </w:tc>
        <w:tc>
          <w:tcPr>
            <w:tcW w:w="651" w:type="pct"/>
            <w:tcBorders>
              <w:top w:val="nil"/>
              <w:left w:val="nil"/>
              <w:bottom w:val="single" w:sz="4" w:space="0" w:color="auto"/>
              <w:right w:val="single" w:sz="4" w:space="0" w:color="auto"/>
            </w:tcBorders>
            <w:shd w:val="clear" w:color="000000" w:fill="A6A6A6"/>
            <w:noWrap/>
            <w:vAlign w:val="bottom"/>
            <w:hideMark/>
          </w:tcPr>
          <w:p w:rsidR="00463D44" w:rsidRPr="00463D44" w:rsidRDefault="00463D44" w:rsidP="00F94398">
            <w:pPr>
              <w:jc w:val="right"/>
              <w:rPr>
                <w:rFonts w:ascii="Arial Narrow" w:hAnsi="Arial Narrow" w:cs="Arial"/>
                <w:i/>
                <w:sz w:val="22"/>
                <w:szCs w:val="22"/>
              </w:rPr>
            </w:pPr>
            <w:r w:rsidRPr="00463D44">
              <w:rPr>
                <w:rFonts w:ascii="Arial Narrow" w:hAnsi="Arial Narrow" w:cs="Arial"/>
                <w:i/>
                <w:sz w:val="22"/>
                <w:szCs w:val="22"/>
              </w:rPr>
              <w:t xml:space="preserve">   950 000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Traitement et analyse des données de l'enquête</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Membres de l'ECD</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10</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250 000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i/>
                <w:sz w:val="22"/>
                <w:szCs w:val="22"/>
              </w:rPr>
            </w:pPr>
            <w:r w:rsidRPr="00463D44">
              <w:rPr>
                <w:rFonts w:ascii="Arial Narrow" w:hAnsi="Arial Narrow" w:cs="Arial"/>
                <w:i/>
                <w:sz w:val="22"/>
                <w:szCs w:val="22"/>
              </w:rPr>
              <w:t>Sous total analyse des résultats</w:t>
            </w:r>
          </w:p>
        </w:tc>
        <w:tc>
          <w:tcPr>
            <w:tcW w:w="461"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463D44">
            <w:pPr>
              <w:jc w:val="center"/>
              <w:rPr>
                <w:rFonts w:ascii="Arial Narrow" w:hAnsi="Arial Narrow" w:cs="Arial"/>
                <w:i/>
                <w:sz w:val="22"/>
                <w:szCs w:val="22"/>
              </w:rPr>
            </w:pPr>
          </w:p>
        </w:tc>
        <w:tc>
          <w:tcPr>
            <w:tcW w:w="559"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463D44">
            <w:pPr>
              <w:jc w:val="center"/>
              <w:rPr>
                <w:rFonts w:ascii="Arial Narrow" w:hAnsi="Arial Narrow" w:cs="Arial"/>
                <w:i/>
                <w:sz w:val="22"/>
                <w:szCs w:val="22"/>
              </w:rPr>
            </w:pPr>
          </w:p>
        </w:tc>
        <w:tc>
          <w:tcPr>
            <w:tcW w:w="1043"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463D44">
            <w:pPr>
              <w:jc w:val="center"/>
              <w:rPr>
                <w:rFonts w:ascii="Arial Narrow" w:hAnsi="Arial Narrow" w:cs="Arial"/>
                <w:i/>
                <w:sz w:val="22"/>
                <w:szCs w:val="22"/>
              </w:rPr>
            </w:pPr>
          </w:p>
        </w:tc>
        <w:tc>
          <w:tcPr>
            <w:tcW w:w="651" w:type="pct"/>
            <w:tcBorders>
              <w:top w:val="nil"/>
              <w:left w:val="nil"/>
              <w:bottom w:val="single" w:sz="4" w:space="0" w:color="auto"/>
              <w:right w:val="single" w:sz="4" w:space="0" w:color="auto"/>
            </w:tcBorders>
            <w:shd w:val="clear" w:color="000000" w:fill="A6A6A6"/>
            <w:noWrap/>
            <w:vAlign w:val="bottom"/>
            <w:hideMark/>
          </w:tcPr>
          <w:p w:rsidR="00463D44" w:rsidRPr="00463D44" w:rsidRDefault="00463D44" w:rsidP="00F94398">
            <w:pPr>
              <w:jc w:val="right"/>
              <w:rPr>
                <w:rFonts w:ascii="Arial Narrow" w:hAnsi="Arial Narrow" w:cs="Arial"/>
                <w:i/>
                <w:sz w:val="22"/>
                <w:szCs w:val="22"/>
              </w:rPr>
            </w:pPr>
            <w:r w:rsidRPr="00463D44">
              <w:rPr>
                <w:rFonts w:ascii="Arial Narrow" w:hAnsi="Arial Narrow" w:cs="Arial"/>
                <w:i/>
                <w:sz w:val="22"/>
                <w:szCs w:val="22"/>
              </w:rPr>
              <w:t xml:space="preserve">250 000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Restitution des résultats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Participants ICP</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18</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7 500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135 000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Membres des COGES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18</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90 000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Facilitateurs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12 500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62 500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Membres de l'ECD et SUS CMA</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6</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7 500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45 000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Administrateur</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7 500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7 500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Personnel de soutien</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5 000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10 000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Sous-Total</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350 000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Transport</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Carburants ICP</w:t>
            </w:r>
          </w:p>
        </w:tc>
        <w:tc>
          <w:tcPr>
            <w:tcW w:w="461"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2400</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120 000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Carburants COGES</w:t>
            </w:r>
          </w:p>
        </w:tc>
        <w:tc>
          <w:tcPr>
            <w:tcW w:w="461"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2400</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120 000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Sous-Total</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240 000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Fournitures de Bureau</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Cahier de 100 pages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42</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140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5 880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Rames de papier</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4 000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20 000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Bic</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48</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4 800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Bloc notes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5</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1 200</w:t>
            </w: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6 000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Sous-Total</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36 680</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Pause café et repas pour la restitution des résultats</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Service</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1</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49</w:t>
            </w: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r w:rsidRPr="00463D44">
              <w:rPr>
                <w:rFonts w:ascii="Arial Narrow" w:hAnsi="Arial Narrow" w:cs="Arial"/>
                <w:sz w:val="22"/>
                <w:szCs w:val="22"/>
              </w:rPr>
              <w:t>2500</w:t>
            </w: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122 500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Sous total</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463D44">
            <w:pPr>
              <w:jc w:val="center"/>
              <w:rPr>
                <w:rFonts w:ascii="Arial Narrow" w:hAnsi="Arial Narrow" w:cs="Arial"/>
                <w:sz w:val="22"/>
                <w:szCs w:val="22"/>
              </w:rPr>
            </w:pPr>
          </w:p>
        </w:tc>
        <w:tc>
          <w:tcPr>
            <w:tcW w:w="1043"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463D44">
            <w:pPr>
              <w:jc w:val="center"/>
              <w:rPr>
                <w:rFonts w:ascii="Arial Narrow" w:hAnsi="Arial Narrow" w:cs="Arial"/>
                <w:sz w:val="22"/>
                <w:szCs w:val="22"/>
              </w:rPr>
            </w:pPr>
          </w:p>
        </w:tc>
        <w:tc>
          <w:tcPr>
            <w:tcW w:w="651" w:type="pct"/>
            <w:tcBorders>
              <w:top w:val="nil"/>
              <w:left w:val="nil"/>
              <w:bottom w:val="single" w:sz="4" w:space="0" w:color="auto"/>
              <w:right w:val="single" w:sz="4" w:space="0" w:color="auto"/>
            </w:tcBorders>
            <w:shd w:val="clear" w:color="000000" w:fill="FFFFFF"/>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122 500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Total pour la restitution</w:t>
            </w:r>
          </w:p>
        </w:tc>
        <w:tc>
          <w:tcPr>
            <w:tcW w:w="461"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 </w:t>
            </w:r>
          </w:p>
        </w:tc>
        <w:tc>
          <w:tcPr>
            <w:tcW w:w="559"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 </w:t>
            </w:r>
          </w:p>
        </w:tc>
        <w:tc>
          <w:tcPr>
            <w:tcW w:w="1043" w:type="pct"/>
            <w:tcBorders>
              <w:top w:val="nil"/>
              <w:left w:val="nil"/>
              <w:bottom w:val="single" w:sz="4" w:space="0" w:color="auto"/>
              <w:right w:val="single" w:sz="4" w:space="0" w:color="auto"/>
            </w:tcBorders>
            <w:shd w:val="clear" w:color="000000" w:fill="A6A6A6"/>
            <w:noWrap/>
            <w:vAlign w:val="center"/>
            <w:hideMark/>
          </w:tcPr>
          <w:p w:rsidR="00463D44" w:rsidRPr="00463D44" w:rsidRDefault="00463D44" w:rsidP="00F94398">
            <w:pPr>
              <w:rPr>
                <w:rFonts w:ascii="Arial Narrow" w:hAnsi="Arial Narrow" w:cs="Arial"/>
                <w:sz w:val="22"/>
                <w:szCs w:val="22"/>
              </w:rPr>
            </w:pPr>
            <w:r w:rsidRPr="00463D44">
              <w:rPr>
                <w:rFonts w:ascii="Arial Narrow" w:hAnsi="Arial Narrow" w:cs="Arial"/>
                <w:sz w:val="22"/>
                <w:szCs w:val="22"/>
              </w:rPr>
              <w:t> </w:t>
            </w:r>
          </w:p>
        </w:tc>
        <w:tc>
          <w:tcPr>
            <w:tcW w:w="651" w:type="pct"/>
            <w:tcBorders>
              <w:top w:val="nil"/>
              <w:left w:val="nil"/>
              <w:bottom w:val="single" w:sz="4" w:space="0" w:color="auto"/>
              <w:right w:val="single" w:sz="4" w:space="0" w:color="auto"/>
            </w:tcBorders>
            <w:shd w:val="clear" w:color="000000" w:fill="A6A6A6"/>
            <w:noWrap/>
            <w:vAlign w:val="bottom"/>
            <w:hideMark/>
          </w:tcPr>
          <w:p w:rsidR="00463D44" w:rsidRPr="00463D44" w:rsidRDefault="00463D44" w:rsidP="00F94398">
            <w:pPr>
              <w:jc w:val="right"/>
              <w:rPr>
                <w:rFonts w:ascii="Arial Narrow" w:hAnsi="Arial Narrow" w:cs="Arial"/>
                <w:sz w:val="22"/>
                <w:szCs w:val="22"/>
              </w:rPr>
            </w:pPr>
            <w:r w:rsidRPr="00463D44">
              <w:rPr>
                <w:rFonts w:ascii="Arial Narrow" w:hAnsi="Arial Narrow" w:cs="Arial"/>
                <w:sz w:val="22"/>
                <w:szCs w:val="22"/>
              </w:rPr>
              <w:t xml:space="preserve">749 180   </w:t>
            </w:r>
          </w:p>
        </w:tc>
      </w:tr>
      <w:tr w:rsidR="00463D44" w:rsidRPr="00463D44" w:rsidTr="00463D44">
        <w:trPr>
          <w:trHeight w:val="20"/>
        </w:trPr>
        <w:tc>
          <w:tcPr>
            <w:tcW w:w="2286" w:type="pct"/>
            <w:tcBorders>
              <w:top w:val="nil"/>
              <w:left w:val="single" w:sz="4" w:space="0" w:color="auto"/>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b/>
                <w:sz w:val="22"/>
                <w:szCs w:val="22"/>
              </w:rPr>
            </w:pPr>
            <w:r w:rsidRPr="00463D44">
              <w:rPr>
                <w:rFonts w:ascii="Arial Narrow" w:hAnsi="Arial Narrow" w:cs="Arial"/>
                <w:b/>
                <w:sz w:val="22"/>
                <w:szCs w:val="22"/>
              </w:rPr>
              <w:t>TOTAL MONITORAGE</w:t>
            </w:r>
          </w:p>
        </w:tc>
        <w:tc>
          <w:tcPr>
            <w:tcW w:w="461"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b/>
                <w:sz w:val="22"/>
                <w:szCs w:val="22"/>
              </w:rPr>
            </w:pPr>
            <w:r w:rsidRPr="00463D44">
              <w:rPr>
                <w:rFonts w:ascii="Arial Narrow" w:hAnsi="Arial Narrow" w:cs="Arial"/>
                <w:b/>
                <w:sz w:val="22"/>
                <w:szCs w:val="22"/>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b/>
                <w:sz w:val="22"/>
                <w:szCs w:val="22"/>
              </w:rPr>
            </w:pPr>
            <w:r w:rsidRPr="00463D44">
              <w:rPr>
                <w:rFonts w:ascii="Arial Narrow" w:hAnsi="Arial Narrow" w:cs="Arial"/>
                <w:b/>
                <w:sz w:val="22"/>
                <w:szCs w:val="22"/>
              </w:rPr>
              <w:t> </w:t>
            </w:r>
          </w:p>
        </w:tc>
        <w:tc>
          <w:tcPr>
            <w:tcW w:w="1043" w:type="pct"/>
            <w:tcBorders>
              <w:top w:val="nil"/>
              <w:left w:val="nil"/>
              <w:bottom w:val="single" w:sz="4" w:space="0" w:color="auto"/>
              <w:right w:val="single" w:sz="4" w:space="0" w:color="auto"/>
            </w:tcBorders>
            <w:shd w:val="clear" w:color="000000" w:fill="FFFFFF"/>
            <w:noWrap/>
            <w:vAlign w:val="center"/>
            <w:hideMark/>
          </w:tcPr>
          <w:p w:rsidR="00463D44" w:rsidRPr="00463D44" w:rsidRDefault="00463D44" w:rsidP="00F94398">
            <w:pPr>
              <w:rPr>
                <w:rFonts w:ascii="Arial Narrow" w:hAnsi="Arial Narrow" w:cs="Arial"/>
                <w:b/>
                <w:sz w:val="22"/>
                <w:szCs w:val="22"/>
              </w:rPr>
            </w:pPr>
            <w:r w:rsidRPr="00463D44">
              <w:rPr>
                <w:rFonts w:ascii="Arial Narrow" w:hAnsi="Arial Narrow" w:cs="Arial"/>
                <w:b/>
                <w:sz w:val="22"/>
                <w:szCs w:val="22"/>
              </w:rPr>
              <w:t> </w:t>
            </w:r>
          </w:p>
        </w:tc>
        <w:tc>
          <w:tcPr>
            <w:tcW w:w="651" w:type="pct"/>
            <w:tcBorders>
              <w:top w:val="nil"/>
              <w:left w:val="nil"/>
              <w:bottom w:val="single" w:sz="4" w:space="0" w:color="auto"/>
              <w:right w:val="single" w:sz="8" w:space="0" w:color="auto"/>
            </w:tcBorders>
            <w:shd w:val="clear" w:color="auto" w:fill="auto"/>
            <w:noWrap/>
            <w:vAlign w:val="center"/>
            <w:hideMark/>
          </w:tcPr>
          <w:p w:rsidR="00463D44" w:rsidRPr="00463D44" w:rsidRDefault="00463D44" w:rsidP="00F94398">
            <w:pPr>
              <w:jc w:val="right"/>
              <w:rPr>
                <w:rFonts w:ascii="Arial Narrow" w:hAnsi="Arial Narrow" w:cs="Arial"/>
                <w:b/>
                <w:sz w:val="22"/>
                <w:szCs w:val="22"/>
              </w:rPr>
            </w:pPr>
            <w:r w:rsidRPr="00463D44">
              <w:rPr>
                <w:rFonts w:ascii="Arial Narrow" w:hAnsi="Arial Narrow" w:cs="Arial"/>
                <w:b/>
                <w:sz w:val="22"/>
                <w:szCs w:val="22"/>
              </w:rPr>
              <w:t>2 774 180</w:t>
            </w:r>
          </w:p>
        </w:tc>
      </w:tr>
    </w:tbl>
    <w:p w:rsidR="00463D44" w:rsidRPr="00BD6637" w:rsidRDefault="00463D44" w:rsidP="00A757CC">
      <w:pPr>
        <w:rPr>
          <w:rFonts w:ascii="Times New Roman" w:hAnsi="Times New Roman" w:cs="Times New Roman"/>
          <w:b/>
          <w:i/>
        </w:rPr>
      </w:pPr>
    </w:p>
    <w:sectPr w:rsidR="00463D44" w:rsidRPr="00BD6637" w:rsidSect="00A757CC">
      <w:footerReference w:type="even" r:id="rId12"/>
      <w:footerReference w:type="default" r:id="rId13"/>
      <w:pgSz w:w="11901" w:h="16817"/>
      <w:pgMar w:top="676" w:right="1418" w:bottom="83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8D1" w:rsidRDefault="002668D1" w:rsidP="00AD3895">
      <w:r>
        <w:separator/>
      </w:r>
    </w:p>
  </w:endnote>
  <w:endnote w:type="continuationSeparator" w:id="0">
    <w:p w:rsidR="002668D1" w:rsidRDefault="002668D1" w:rsidP="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16115130"/>
      <w:docPartObj>
        <w:docPartGallery w:val="Page Numbers (Bottom of Page)"/>
        <w:docPartUnique/>
      </w:docPartObj>
    </w:sdtPr>
    <w:sdtEndPr>
      <w:rPr>
        <w:rStyle w:val="Numrodepage"/>
      </w:rPr>
    </w:sdtEndPr>
    <w:sdtContent>
      <w:p w:rsidR="004C3C99" w:rsidRDefault="004C3C99" w:rsidP="00953D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C3C99" w:rsidRDefault="004C3C99" w:rsidP="00C93B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88829593"/>
      <w:docPartObj>
        <w:docPartGallery w:val="Page Numbers (Bottom of Page)"/>
        <w:docPartUnique/>
      </w:docPartObj>
    </w:sdtPr>
    <w:sdtEndPr>
      <w:rPr>
        <w:rStyle w:val="Numrodepage"/>
        <w:rFonts w:ascii="Calisto MT" w:hAnsi="Calisto MT"/>
        <w:b/>
        <w:sz w:val="22"/>
        <w:szCs w:val="22"/>
      </w:rPr>
    </w:sdtEndPr>
    <w:sdtContent>
      <w:p w:rsidR="004C3C99" w:rsidRPr="00C93B39" w:rsidRDefault="004C3C99" w:rsidP="00953D8F">
        <w:pPr>
          <w:pStyle w:val="Pieddepage"/>
          <w:framePr w:wrap="none" w:vAnchor="text" w:hAnchor="margin" w:xAlign="right" w:y="1"/>
          <w:rPr>
            <w:rStyle w:val="Numrodepage"/>
            <w:rFonts w:ascii="Calisto MT" w:hAnsi="Calisto MT"/>
            <w:b/>
            <w:sz w:val="22"/>
            <w:szCs w:val="22"/>
          </w:rPr>
        </w:pPr>
        <w:r w:rsidRPr="00C93B39">
          <w:rPr>
            <w:rStyle w:val="Numrodepage"/>
            <w:rFonts w:ascii="Calisto MT" w:hAnsi="Calisto MT"/>
            <w:b/>
            <w:sz w:val="22"/>
            <w:szCs w:val="22"/>
          </w:rPr>
          <w:fldChar w:fldCharType="begin"/>
        </w:r>
        <w:r w:rsidRPr="00C93B39">
          <w:rPr>
            <w:rStyle w:val="Numrodepage"/>
            <w:rFonts w:ascii="Calisto MT" w:hAnsi="Calisto MT"/>
            <w:b/>
            <w:sz w:val="22"/>
            <w:szCs w:val="22"/>
          </w:rPr>
          <w:instrText xml:space="preserve"> PAGE </w:instrText>
        </w:r>
        <w:r w:rsidRPr="00C93B39">
          <w:rPr>
            <w:rStyle w:val="Numrodepage"/>
            <w:rFonts w:ascii="Calisto MT" w:hAnsi="Calisto MT"/>
            <w:b/>
            <w:sz w:val="22"/>
            <w:szCs w:val="22"/>
          </w:rPr>
          <w:fldChar w:fldCharType="separate"/>
        </w:r>
        <w:r w:rsidRPr="00C93B39">
          <w:rPr>
            <w:rStyle w:val="Numrodepage"/>
            <w:rFonts w:ascii="Calisto MT" w:hAnsi="Calisto MT"/>
            <w:b/>
            <w:noProof/>
            <w:sz w:val="22"/>
            <w:szCs w:val="22"/>
          </w:rPr>
          <w:t>1</w:t>
        </w:r>
        <w:r w:rsidRPr="00C93B39">
          <w:rPr>
            <w:rStyle w:val="Numrodepage"/>
            <w:rFonts w:ascii="Calisto MT" w:hAnsi="Calisto MT"/>
            <w:b/>
            <w:sz w:val="22"/>
            <w:szCs w:val="22"/>
          </w:rPr>
          <w:fldChar w:fldCharType="end"/>
        </w:r>
      </w:p>
    </w:sdtContent>
  </w:sdt>
  <w:p w:rsidR="004C3C99" w:rsidRPr="00C93B39" w:rsidRDefault="004C3C99" w:rsidP="00C93B39">
    <w:pPr>
      <w:pStyle w:val="Pieddepage"/>
      <w:ind w:right="360"/>
      <w:rPr>
        <w:rFonts w:ascii="Calisto MT" w:hAnsi="Calisto MT"/>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8D1" w:rsidRDefault="002668D1" w:rsidP="00AD3895">
      <w:r>
        <w:separator/>
      </w:r>
    </w:p>
  </w:footnote>
  <w:footnote w:type="continuationSeparator" w:id="0">
    <w:p w:rsidR="002668D1" w:rsidRDefault="002668D1" w:rsidP="00AD3895">
      <w:r>
        <w:continuationSeparator/>
      </w:r>
    </w:p>
  </w:footnote>
  <w:footnote w:id="1">
    <w:p w:rsidR="004C3C99" w:rsidRPr="00953D8F" w:rsidRDefault="004C3C99" w:rsidP="00953D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604"/>
    <w:multiLevelType w:val="hybridMultilevel"/>
    <w:tmpl w:val="D4C0826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12C24"/>
    <w:multiLevelType w:val="hybridMultilevel"/>
    <w:tmpl w:val="B9AA5F4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A7523BA"/>
    <w:multiLevelType w:val="hybridMultilevel"/>
    <w:tmpl w:val="BCEE824C"/>
    <w:lvl w:ilvl="0" w:tplc="361C21CA">
      <w:start w:val="1"/>
      <w:numFmt w:val="lowerLetter"/>
      <w:lvlText w:val="%1."/>
      <w:lvlJc w:val="left"/>
      <w:pPr>
        <w:ind w:left="720" w:hanging="360"/>
      </w:pPr>
      <w:rPr>
        <w:rFonts w:ascii="Garamond" w:eastAsia="Times New Roman" w:hAnsi="Garamond"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A3188"/>
    <w:multiLevelType w:val="hybridMultilevel"/>
    <w:tmpl w:val="CD20D9AC"/>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CE5B46"/>
    <w:multiLevelType w:val="hybridMultilevel"/>
    <w:tmpl w:val="C786DC0A"/>
    <w:lvl w:ilvl="0" w:tplc="1E26059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8E3C02"/>
    <w:multiLevelType w:val="hybridMultilevel"/>
    <w:tmpl w:val="B99E6D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CE1021"/>
    <w:multiLevelType w:val="hybridMultilevel"/>
    <w:tmpl w:val="06540B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DF0155"/>
    <w:multiLevelType w:val="hybridMultilevel"/>
    <w:tmpl w:val="964678DA"/>
    <w:lvl w:ilvl="0" w:tplc="040C0019">
      <w:start w:val="1"/>
      <w:numFmt w:val="lowerLetter"/>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2332B1"/>
    <w:multiLevelType w:val="hybridMultilevel"/>
    <w:tmpl w:val="C8FAD76C"/>
    <w:lvl w:ilvl="0" w:tplc="FBA8F16A">
      <w:start w:val="1"/>
      <w:numFmt w:val="bullet"/>
      <w:lvlText w:val=""/>
      <w:lvlJc w:val="left"/>
      <w:pPr>
        <w:ind w:left="360" w:hanging="360"/>
      </w:pPr>
      <w:rPr>
        <w:rFonts w:ascii="Symbol" w:hAnsi="Symbol" w:hint="default"/>
        <w:color w:val="auto"/>
        <w:sz w:val="22"/>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5E666C"/>
    <w:multiLevelType w:val="multilevel"/>
    <w:tmpl w:val="122C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14C07"/>
    <w:multiLevelType w:val="hybridMultilevel"/>
    <w:tmpl w:val="C5CCDD54"/>
    <w:lvl w:ilvl="0" w:tplc="1E26059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AB287F"/>
    <w:multiLevelType w:val="hybridMultilevel"/>
    <w:tmpl w:val="BA247874"/>
    <w:lvl w:ilvl="0" w:tplc="040C0019">
      <w:start w:val="1"/>
      <w:numFmt w:val="lowerLetter"/>
      <w:lvlText w:val="%1."/>
      <w:lvlJc w:val="left"/>
      <w:pPr>
        <w:ind w:left="5180" w:hanging="360"/>
      </w:pPr>
    </w:lvl>
    <w:lvl w:ilvl="1" w:tplc="040C0019" w:tentative="1">
      <w:start w:val="1"/>
      <w:numFmt w:val="lowerLetter"/>
      <w:lvlText w:val="%2."/>
      <w:lvlJc w:val="left"/>
      <w:pPr>
        <w:ind w:left="5900" w:hanging="360"/>
      </w:pPr>
    </w:lvl>
    <w:lvl w:ilvl="2" w:tplc="040C001B" w:tentative="1">
      <w:start w:val="1"/>
      <w:numFmt w:val="lowerRoman"/>
      <w:lvlText w:val="%3."/>
      <w:lvlJc w:val="right"/>
      <w:pPr>
        <w:ind w:left="6620" w:hanging="180"/>
      </w:pPr>
    </w:lvl>
    <w:lvl w:ilvl="3" w:tplc="040C000F" w:tentative="1">
      <w:start w:val="1"/>
      <w:numFmt w:val="decimal"/>
      <w:lvlText w:val="%4."/>
      <w:lvlJc w:val="left"/>
      <w:pPr>
        <w:ind w:left="7340" w:hanging="360"/>
      </w:pPr>
    </w:lvl>
    <w:lvl w:ilvl="4" w:tplc="040C0019" w:tentative="1">
      <w:start w:val="1"/>
      <w:numFmt w:val="lowerLetter"/>
      <w:lvlText w:val="%5."/>
      <w:lvlJc w:val="left"/>
      <w:pPr>
        <w:ind w:left="8060" w:hanging="360"/>
      </w:pPr>
    </w:lvl>
    <w:lvl w:ilvl="5" w:tplc="040C001B" w:tentative="1">
      <w:start w:val="1"/>
      <w:numFmt w:val="lowerRoman"/>
      <w:lvlText w:val="%6."/>
      <w:lvlJc w:val="right"/>
      <w:pPr>
        <w:ind w:left="8780" w:hanging="180"/>
      </w:pPr>
    </w:lvl>
    <w:lvl w:ilvl="6" w:tplc="040C000F" w:tentative="1">
      <w:start w:val="1"/>
      <w:numFmt w:val="decimal"/>
      <w:lvlText w:val="%7."/>
      <w:lvlJc w:val="left"/>
      <w:pPr>
        <w:ind w:left="9500" w:hanging="360"/>
      </w:pPr>
    </w:lvl>
    <w:lvl w:ilvl="7" w:tplc="040C0019" w:tentative="1">
      <w:start w:val="1"/>
      <w:numFmt w:val="lowerLetter"/>
      <w:lvlText w:val="%8."/>
      <w:lvlJc w:val="left"/>
      <w:pPr>
        <w:ind w:left="10220" w:hanging="360"/>
      </w:pPr>
    </w:lvl>
    <w:lvl w:ilvl="8" w:tplc="040C001B" w:tentative="1">
      <w:start w:val="1"/>
      <w:numFmt w:val="lowerRoman"/>
      <w:lvlText w:val="%9."/>
      <w:lvlJc w:val="right"/>
      <w:pPr>
        <w:ind w:left="10940" w:hanging="180"/>
      </w:pPr>
    </w:lvl>
  </w:abstractNum>
  <w:num w:numId="1">
    <w:abstractNumId w:val="10"/>
  </w:num>
  <w:num w:numId="2">
    <w:abstractNumId w:val="4"/>
  </w:num>
  <w:num w:numId="3">
    <w:abstractNumId w:val="0"/>
  </w:num>
  <w:num w:numId="4">
    <w:abstractNumId w:val="11"/>
  </w:num>
  <w:num w:numId="5">
    <w:abstractNumId w:val="7"/>
  </w:num>
  <w:num w:numId="6">
    <w:abstractNumId w:val="1"/>
  </w:num>
  <w:num w:numId="7">
    <w:abstractNumId w:val="9"/>
  </w:num>
  <w:num w:numId="8">
    <w:abstractNumId w:val="2"/>
  </w:num>
  <w:num w:numId="9">
    <w:abstractNumId w:val="3"/>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0F"/>
    <w:rsid w:val="0000234A"/>
    <w:rsid w:val="000034B5"/>
    <w:rsid w:val="00004578"/>
    <w:rsid w:val="000106D3"/>
    <w:rsid w:val="0001097A"/>
    <w:rsid w:val="00010984"/>
    <w:rsid w:val="00010D9E"/>
    <w:rsid w:val="00013FBF"/>
    <w:rsid w:val="00017FBC"/>
    <w:rsid w:val="00020155"/>
    <w:rsid w:val="00021D95"/>
    <w:rsid w:val="000226F7"/>
    <w:rsid w:val="00022EA2"/>
    <w:rsid w:val="00033CEB"/>
    <w:rsid w:val="00034057"/>
    <w:rsid w:val="00034C3B"/>
    <w:rsid w:val="00042145"/>
    <w:rsid w:val="0004517D"/>
    <w:rsid w:val="000454A4"/>
    <w:rsid w:val="000518B5"/>
    <w:rsid w:val="00053178"/>
    <w:rsid w:val="00054502"/>
    <w:rsid w:val="00054D1B"/>
    <w:rsid w:val="00057092"/>
    <w:rsid w:val="00060E3F"/>
    <w:rsid w:val="00061398"/>
    <w:rsid w:val="00064B4A"/>
    <w:rsid w:val="00071542"/>
    <w:rsid w:val="000720A5"/>
    <w:rsid w:val="0007344C"/>
    <w:rsid w:val="0007517F"/>
    <w:rsid w:val="000764D5"/>
    <w:rsid w:val="00077100"/>
    <w:rsid w:val="000814C8"/>
    <w:rsid w:val="00087B72"/>
    <w:rsid w:val="00093E8E"/>
    <w:rsid w:val="000950AF"/>
    <w:rsid w:val="00096D06"/>
    <w:rsid w:val="000A03B1"/>
    <w:rsid w:val="000A053C"/>
    <w:rsid w:val="000A3C43"/>
    <w:rsid w:val="000A5128"/>
    <w:rsid w:val="000A5357"/>
    <w:rsid w:val="000B3D47"/>
    <w:rsid w:val="000B7074"/>
    <w:rsid w:val="000C00AA"/>
    <w:rsid w:val="000C0B10"/>
    <w:rsid w:val="000C1D77"/>
    <w:rsid w:val="000C279B"/>
    <w:rsid w:val="000C3C20"/>
    <w:rsid w:val="000C40C1"/>
    <w:rsid w:val="000C40C4"/>
    <w:rsid w:val="000C4B0C"/>
    <w:rsid w:val="000C62F4"/>
    <w:rsid w:val="000D1575"/>
    <w:rsid w:val="000D377A"/>
    <w:rsid w:val="000D3E5F"/>
    <w:rsid w:val="000D7F72"/>
    <w:rsid w:val="000E3AE4"/>
    <w:rsid w:val="000E584A"/>
    <w:rsid w:val="000E5B0C"/>
    <w:rsid w:val="000E7549"/>
    <w:rsid w:val="00103E6F"/>
    <w:rsid w:val="00105403"/>
    <w:rsid w:val="00111530"/>
    <w:rsid w:val="0011175C"/>
    <w:rsid w:val="00116945"/>
    <w:rsid w:val="00116AC1"/>
    <w:rsid w:val="0011749E"/>
    <w:rsid w:val="001237E5"/>
    <w:rsid w:val="00124440"/>
    <w:rsid w:val="001265BF"/>
    <w:rsid w:val="001329A5"/>
    <w:rsid w:val="00135209"/>
    <w:rsid w:val="00135F55"/>
    <w:rsid w:val="00137254"/>
    <w:rsid w:val="00142511"/>
    <w:rsid w:val="00142C8A"/>
    <w:rsid w:val="00143049"/>
    <w:rsid w:val="001435BB"/>
    <w:rsid w:val="001440F0"/>
    <w:rsid w:val="00144F30"/>
    <w:rsid w:val="001558D4"/>
    <w:rsid w:val="00155CA1"/>
    <w:rsid w:val="00156ECD"/>
    <w:rsid w:val="00156F50"/>
    <w:rsid w:val="0016208F"/>
    <w:rsid w:val="0016754C"/>
    <w:rsid w:val="00170558"/>
    <w:rsid w:val="00170802"/>
    <w:rsid w:val="00170FC3"/>
    <w:rsid w:val="0017376B"/>
    <w:rsid w:val="001755DC"/>
    <w:rsid w:val="00175BCB"/>
    <w:rsid w:val="00176A49"/>
    <w:rsid w:val="00180EC5"/>
    <w:rsid w:val="0018193F"/>
    <w:rsid w:val="00183FA6"/>
    <w:rsid w:val="001843F2"/>
    <w:rsid w:val="00184686"/>
    <w:rsid w:val="00186AC2"/>
    <w:rsid w:val="00186D94"/>
    <w:rsid w:val="00187C90"/>
    <w:rsid w:val="00190A36"/>
    <w:rsid w:val="00190BD1"/>
    <w:rsid w:val="00191DA4"/>
    <w:rsid w:val="0019269B"/>
    <w:rsid w:val="00195128"/>
    <w:rsid w:val="001A16C6"/>
    <w:rsid w:val="001A3C5E"/>
    <w:rsid w:val="001A5363"/>
    <w:rsid w:val="001A5DCA"/>
    <w:rsid w:val="001B2634"/>
    <w:rsid w:val="001B56E1"/>
    <w:rsid w:val="001B66AC"/>
    <w:rsid w:val="001B77A7"/>
    <w:rsid w:val="001C649B"/>
    <w:rsid w:val="001C6B10"/>
    <w:rsid w:val="001D0F26"/>
    <w:rsid w:val="001D254A"/>
    <w:rsid w:val="001D2C5F"/>
    <w:rsid w:val="001D5B1C"/>
    <w:rsid w:val="001E0DF0"/>
    <w:rsid w:val="001E17F4"/>
    <w:rsid w:val="001E38B8"/>
    <w:rsid w:val="001E3C69"/>
    <w:rsid w:val="001E40AB"/>
    <w:rsid w:val="001E4F30"/>
    <w:rsid w:val="001E52C7"/>
    <w:rsid w:val="001E5596"/>
    <w:rsid w:val="001E56BA"/>
    <w:rsid w:val="001E5A0F"/>
    <w:rsid w:val="001F3872"/>
    <w:rsid w:val="001F5A48"/>
    <w:rsid w:val="001F705A"/>
    <w:rsid w:val="002018BB"/>
    <w:rsid w:val="00204840"/>
    <w:rsid w:val="002107D6"/>
    <w:rsid w:val="00210B51"/>
    <w:rsid w:val="00211EB1"/>
    <w:rsid w:val="002136CE"/>
    <w:rsid w:val="00215303"/>
    <w:rsid w:val="00217A51"/>
    <w:rsid w:val="002207ED"/>
    <w:rsid w:val="00220A00"/>
    <w:rsid w:val="0022678B"/>
    <w:rsid w:val="002309EF"/>
    <w:rsid w:val="00231DEB"/>
    <w:rsid w:val="00234056"/>
    <w:rsid w:val="0023432F"/>
    <w:rsid w:val="00236A1D"/>
    <w:rsid w:val="00244432"/>
    <w:rsid w:val="002448F6"/>
    <w:rsid w:val="0024722A"/>
    <w:rsid w:val="00251404"/>
    <w:rsid w:val="00251825"/>
    <w:rsid w:val="00251AF2"/>
    <w:rsid w:val="00254B7F"/>
    <w:rsid w:val="00255872"/>
    <w:rsid w:val="002618DA"/>
    <w:rsid w:val="0026548B"/>
    <w:rsid w:val="002667D7"/>
    <w:rsid w:val="002668D1"/>
    <w:rsid w:val="002741F0"/>
    <w:rsid w:val="00276756"/>
    <w:rsid w:val="0027726A"/>
    <w:rsid w:val="00280EEE"/>
    <w:rsid w:val="0028133B"/>
    <w:rsid w:val="00282923"/>
    <w:rsid w:val="002846E2"/>
    <w:rsid w:val="00285B4E"/>
    <w:rsid w:val="00287227"/>
    <w:rsid w:val="00290F53"/>
    <w:rsid w:val="00293320"/>
    <w:rsid w:val="00293FC9"/>
    <w:rsid w:val="002A0BD7"/>
    <w:rsid w:val="002A1849"/>
    <w:rsid w:val="002A3130"/>
    <w:rsid w:val="002A680C"/>
    <w:rsid w:val="002B1101"/>
    <w:rsid w:val="002B2462"/>
    <w:rsid w:val="002B2702"/>
    <w:rsid w:val="002B4E72"/>
    <w:rsid w:val="002B5E93"/>
    <w:rsid w:val="002C0AE6"/>
    <w:rsid w:val="002C404E"/>
    <w:rsid w:val="002C4C6F"/>
    <w:rsid w:val="002C4EC4"/>
    <w:rsid w:val="002C5406"/>
    <w:rsid w:val="002C745A"/>
    <w:rsid w:val="002D04E6"/>
    <w:rsid w:val="002D0DB6"/>
    <w:rsid w:val="002D33A8"/>
    <w:rsid w:val="002D3FE1"/>
    <w:rsid w:val="002D6CD7"/>
    <w:rsid w:val="002D719E"/>
    <w:rsid w:val="002D7FD1"/>
    <w:rsid w:val="002E1860"/>
    <w:rsid w:val="002E2775"/>
    <w:rsid w:val="002E5DAA"/>
    <w:rsid w:val="002E7C37"/>
    <w:rsid w:val="002F2A8D"/>
    <w:rsid w:val="002F57FD"/>
    <w:rsid w:val="002F61C4"/>
    <w:rsid w:val="00300D8F"/>
    <w:rsid w:val="003015E9"/>
    <w:rsid w:val="00301AD6"/>
    <w:rsid w:val="00302346"/>
    <w:rsid w:val="003027A8"/>
    <w:rsid w:val="003071FB"/>
    <w:rsid w:val="003074CA"/>
    <w:rsid w:val="00317874"/>
    <w:rsid w:val="00322AFD"/>
    <w:rsid w:val="00323E72"/>
    <w:rsid w:val="0033017F"/>
    <w:rsid w:val="00330E7D"/>
    <w:rsid w:val="00334585"/>
    <w:rsid w:val="00335006"/>
    <w:rsid w:val="00335240"/>
    <w:rsid w:val="00335B51"/>
    <w:rsid w:val="00337340"/>
    <w:rsid w:val="00337C2C"/>
    <w:rsid w:val="00340C29"/>
    <w:rsid w:val="003421EF"/>
    <w:rsid w:val="003436DE"/>
    <w:rsid w:val="003462EA"/>
    <w:rsid w:val="003470C9"/>
    <w:rsid w:val="0035212D"/>
    <w:rsid w:val="00362CDF"/>
    <w:rsid w:val="00364DB2"/>
    <w:rsid w:val="00366506"/>
    <w:rsid w:val="0037264C"/>
    <w:rsid w:val="00375BCE"/>
    <w:rsid w:val="00376059"/>
    <w:rsid w:val="0038335E"/>
    <w:rsid w:val="00384D07"/>
    <w:rsid w:val="00397D0B"/>
    <w:rsid w:val="003A4B6B"/>
    <w:rsid w:val="003A4DB1"/>
    <w:rsid w:val="003A4E40"/>
    <w:rsid w:val="003A562E"/>
    <w:rsid w:val="003A578D"/>
    <w:rsid w:val="003A7B8B"/>
    <w:rsid w:val="003B11D2"/>
    <w:rsid w:val="003B401C"/>
    <w:rsid w:val="003B52BB"/>
    <w:rsid w:val="003B655A"/>
    <w:rsid w:val="003B6A10"/>
    <w:rsid w:val="003C1811"/>
    <w:rsid w:val="003C1B12"/>
    <w:rsid w:val="003C2B59"/>
    <w:rsid w:val="003C4D47"/>
    <w:rsid w:val="003C5CFF"/>
    <w:rsid w:val="003C5D38"/>
    <w:rsid w:val="003C6E70"/>
    <w:rsid w:val="003D1627"/>
    <w:rsid w:val="003D19A7"/>
    <w:rsid w:val="003D35DC"/>
    <w:rsid w:val="003D38AC"/>
    <w:rsid w:val="003D3A95"/>
    <w:rsid w:val="003D46BA"/>
    <w:rsid w:val="003E236C"/>
    <w:rsid w:val="003E3D8B"/>
    <w:rsid w:val="003F11BC"/>
    <w:rsid w:val="003F204C"/>
    <w:rsid w:val="003F4C1A"/>
    <w:rsid w:val="003F69B0"/>
    <w:rsid w:val="00403A26"/>
    <w:rsid w:val="004060B8"/>
    <w:rsid w:val="00406A44"/>
    <w:rsid w:val="0041464C"/>
    <w:rsid w:val="004172C8"/>
    <w:rsid w:val="00421D8C"/>
    <w:rsid w:val="00422DD3"/>
    <w:rsid w:val="00424999"/>
    <w:rsid w:val="00427637"/>
    <w:rsid w:val="0043375D"/>
    <w:rsid w:val="00434423"/>
    <w:rsid w:val="004346DD"/>
    <w:rsid w:val="0044095A"/>
    <w:rsid w:val="00444AF1"/>
    <w:rsid w:val="00453497"/>
    <w:rsid w:val="00453C50"/>
    <w:rsid w:val="0046090B"/>
    <w:rsid w:val="00462B86"/>
    <w:rsid w:val="00463D44"/>
    <w:rsid w:val="00466843"/>
    <w:rsid w:val="00467730"/>
    <w:rsid w:val="00467DB3"/>
    <w:rsid w:val="00471757"/>
    <w:rsid w:val="004761EF"/>
    <w:rsid w:val="00481910"/>
    <w:rsid w:val="004831D3"/>
    <w:rsid w:val="004839A0"/>
    <w:rsid w:val="004841D0"/>
    <w:rsid w:val="00487094"/>
    <w:rsid w:val="0048714B"/>
    <w:rsid w:val="00492B74"/>
    <w:rsid w:val="00494293"/>
    <w:rsid w:val="004A18F1"/>
    <w:rsid w:val="004A3880"/>
    <w:rsid w:val="004B0EE3"/>
    <w:rsid w:val="004B6A5F"/>
    <w:rsid w:val="004B6DBB"/>
    <w:rsid w:val="004B6F4D"/>
    <w:rsid w:val="004C17BE"/>
    <w:rsid w:val="004C199A"/>
    <w:rsid w:val="004C2559"/>
    <w:rsid w:val="004C3C99"/>
    <w:rsid w:val="004C3EB9"/>
    <w:rsid w:val="004C4EE2"/>
    <w:rsid w:val="004C582D"/>
    <w:rsid w:val="004C64EE"/>
    <w:rsid w:val="004D1F46"/>
    <w:rsid w:val="004E0643"/>
    <w:rsid w:val="004E2839"/>
    <w:rsid w:val="004E357F"/>
    <w:rsid w:val="004E3C90"/>
    <w:rsid w:val="004E597A"/>
    <w:rsid w:val="004E7380"/>
    <w:rsid w:val="004F3BE9"/>
    <w:rsid w:val="00513F6D"/>
    <w:rsid w:val="00514C75"/>
    <w:rsid w:val="0051555F"/>
    <w:rsid w:val="00517CA0"/>
    <w:rsid w:val="005215BA"/>
    <w:rsid w:val="00524F60"/>
    <w:rsid w:val="00525954"/>
    <w:rsid w:val="0053048C"/>
    <w:rsid w:val="00530ADC"/>
    <w:rsid w:val="00533244"/>
    <w:rsid w:val="00534D07"/>
    <w:rsid w:val="005379BD"/>
    <w:rsid w:val="00537F5F"/>
    <w:rsid w:val="005400AC"/>
    <w:rsid w:val="00540702"/>
    <w:rsid w:val="005435CC"/>
    <w:rsid w:val="00544B6A"/>
    <w:rsid w:val="005452E3"/>
    <w:rsid w:val="00545654"/>
    <w:rsid w:val="005466BB"/>
    <w:rsid w:val="0055220B"/>
    <w:rsid w:val="005527AA"/>
    <w:rsid w:val="00552AC3"/>
    <w:rsid w:val="00554338"/>
    <w:rsid w:val="00556B75"/>
    <w:rsid w:val="005575F5"/>
    <w:rsid w:val="00561E02"/>
    <w:rsid w:val="00562B39"/>
    <w:rsid w:val="00563C45"/>
    <w:rsid w:val="00566486"/>
    <w:rsid w:val="005701D4"/>
    <w:rsid w:val="0057136E"/>
    <w:rsid w:val="005713F0"/>
    <w:rsid w:val="005721B3"/>
    <w:rsid w:val="0057401A"/>
    <w:rsid w:val="00585DC3"/>
    <w:rsid w:val="0058742C"/>
    <w:rsid w:val="005901F9"/>
    <w:rsid w:val="00590DAD"/>
    <w:rsid w:val="00590EEB"/>
    <w:rsid w:val="0059510C"/>
    <w:rsid w:val="005964B3"/>
    <w:rsid w:val="005A05A1"/>
    <w:rsid w:val="005A0D1F"/>
    <w:rsid w:val="005A3E3F"/>
    <w:rsid w:val="005B0FE9"/>
    <w:rsid w:val="005B197C"/>
    <w:rsid w:val="005B1D49"/>
    <w:rsid w:val="005B2149"/>
    <w:rsid w:val="005B2343"/>
    <w:rsid w:val="005B685D"/>
    <w:rsid w:val="005B7F50"/>
    <w:rsid w:val="005C1A88"/>
    <w:rsid w:val="005C1E8E"/>
    <w:rsid w:val="005C4300"/>
    <w:rsid w:val="005D0FA4"/>
    <w:rsid w:val="005D1D1F"/>
    <w:rsid w:val="005D367B"/>
    <w:rsid w:val="005E0DCF"/>
    <w:rsid w:val="005E1D54"/>
    <w:rsid w:val="005E40D7"/>
    <w:rsid w:val="005E586F"/>
    <w:rsid w:val="005E639C"/>
    <w:rsid w:val="005F6FD0"/>
    <w:rsid w:val="00601338"/>
    <w:rsid w:val="00603CDB"/>
    <w:rsid w:val="00610013"/>
    <w:rsid w:val="0061200C"/>
    <w:rsid w:val="00612500"/>
    <w:rsid w:val="006143C1"/>
    <w:rsid w:val="00616546"/>
    <w:rsid w:val="00616F6A"/>
    <w:rsid w:val="00622219"/>
    <w:rsid w:val="00623933"/>
    <w:rsid w:val="006241DB"/>
    <w:rsid w:val="00627FBF"/>
    <w:rsid w:val="00633081"/>
    <w:rsid w:val="0063341E"/>
    <w:rsid w:val="006369E0"/>
    <w:rsid w:val="006438F9"/>
    <w:rsid w:val="00655960"/>
    <w:rsid w:val="0065633A"/>
    <w:rsid w:val="00670CDF"/>
    <w:rsid w:val="00670EDD"/>
    <w:rsid w:val="00671CD0"/>
    <w:rsid w:val="00672671"/>
    <w:rsid w:val="006752AB"/>
    <w:rsid w:val="00675F21"/>
    <w:rsid w:val="006763FA"/>
    <w:rsid w:val="006764B8"/>
    <w:rsid w:val="00676637"/>
    <w:rsid w:val="00681135"/>
    <w:rsid w:val="006849FA"/>
    <w:rsid w:val="00685BA9"/>
    <w:rsid w:val="00686172"/>
    <w:rsid w:val="00687757"/>
    <w:rsid w:val="0069104F"/>
    <w:rsid w:val="00693569"/>
    <w:rsid w:val="006A1D43"/>
    <w:rsid w:val="006B173A"/>
    <w:rsid w:val="006B197F"/>
    <w:rsid w:val="006B2E35"/>
    <w:rsid w:val="006B36DB"/>
    <w:rsid w:val="006B74D9"/>
    <w:rsid w:val="006B78C3"/>
    <w:rsid w:val="006C09DC"/>
    <w:rsid w:val="006C5BCD"/>
    <w:rsid w:val="006C6792"/>
    <w:rsid w:val="006C75E6"/>
    <w:rsid w:val="006C7D5C"/>
    <w:rsid w:val="006D0A25"/>
    <w:rsid w:val="006D1A9A"/>
    <w:rsid w:val="006D59CD"/>
    <w:rsid w:val="006D690F"/>
    <w:rsid w:val="006D6B41"/>
    <w:rsid w:val="006D755F"/>
    <w:rsid w:val="006D7A19"/>
    <w:rsid w:val="006E47C6"/>
    <w:rsid w:val="006E641B"/>
    <w:rsid w:val="006F208C"/>
    <w:rsid w:val="006F54A9"/>
    <w:rsid w:val="006F6C7E"/>
    <w:rsid w:val="006F7AB4"/>
    <w:rsid w:val="007013BD"/>
    <w:rsid w:val="007026C0"/>
    <w:rsid w:val="007027F1"/>
    <w:rsid w:val="00707FE1"/>
    <w:rsid w:val="00714CDE"/>
    <w:rsid w:val="00716241"/>
    <w:rsid w:val="00716E0B"/>
    <w:rsid w:val="00717F48"/>
    <w:rsid w:val="00721BAA"/>
    <w:rsid w:val="00721EFF"/>
    <w:rsid w:val="00723237"/>
    <w:rsid w:val="007238E9"/>
    <w:rsid w:val="0072435D"/>
    <w:rsid w:val="00724D23"/>
    <w:rsid w:val="00733D00"/>
    <w:rsid w:val="00737F1E"/>
    <w:rsid w:val="007414C1"/>
    <w:rsid w:val="007421B3"/>
    <w:rsid w:val="00742344"/>
    <w:rsid w:val="007425BA"/>
    <w:rsid w:val="00750701"/>
    <w:rsid w:val="007510BA"/>
    <w:rsid w:val="00752537"/>
    <w:rsid w:val="00762A84"/>
    <w:rsid w:val="007653C6"/>
    <w:rsid w:val="00765538"/>
    <w:rsid w:val="007657D3"/>
    <w:rsid w:val="00765F5D"/>
    <w:rsid w:val="00770D37"/>
    <w:rsid w:val="0077133E"/>
    <w:rsid w:val="0077158C"/>
    <w:rsid w:val="00773DE0"/>
    <w:rsid w:val="00782F44"/>
    <w:rsid w:val="00790954"/>
    <w:rsid w:val="00791925"/>
    <w:rsid w:val="00793CD1"/>
    <w:rsid w:val="00794DF0"/>
    <w:rsid w:val="00795FB9"/>
    <w:rsid w:val="007967EC"/>
    <w:rsid w:val="007A04D2"/>
    <w:rsid w:val="007A1002"/>
    <w:rsid w:val="007A3625"/>
    <w:rsid w:val="007B0C56"/>
    <w:rsid w:val="007B15EA"/>
    <w:rsid w:val="007B68A3"/>
    <w:rsid w:val="007B7263"/>
    <w:rsid w:val="007B7C48"/>
    <w:rsid w:val="007C23FE"/>
    <w:rsid w:val="007C6B9F"/>
    <w:rsid w:val="007D0289"/>
    <w:rsid w:val="007D0760"/>
    <w:rsid w:val="007D496F"/>
    <w:rsid w:val="007D5038"/>
    <w:rsid w:val="007D70F3"/>
    <w:rsid w:val="007E00FA"/>
    <w:rsid w:val="007E05C0"/>
    <w:rsid w:val="007E17FE"/>
    <w:rsid w:val="007E43E5"/>
    <w:rsid w:val="007E645D"/>
    <w:rsid w:val="007E6C53"/>
    <w:rsid w:val="007E6D91"/>
    <w:rsid w:val="007F17EF"/>
    <w:rsid w:val="007F3800"/>
    <w:rsid w:val="008115FB"/>
    <w:rsid w:val="0081276F"/>
    <w:rsid w:val="00812B05"/>
    <w:rsid w:val="00812F91"/>
    <w:rsid w:val="00813DAF"/>
    <w:rsid w:val="0081490D"/>
    <w:rsid w:val="0081504E"/>
    <w:rsid w:val="008225B6"/>
    <w:rsid w:val="00824F6B"/>
    <w:rsid w:val="0082509F"/>
    <w:rsid w:val="00825BFD"/>
    <w:rsid w:val="00826276"/>
    <w:rsid w:val="00826BA0"/>
    <w:rsid w:val="00830DBE"/>
    <w:rsid w:val="00831BAA"/>
    <w:rsid w:val="00832634"/>
    <w:rsid w:val="00835977"/>
    <w:rsid w:val="00836F8D"/>
    <w:rsid w:val="00840BB8"/>
    <w:rsid w:val="0084439B"/>
    <w:rsid w:val="00850626"/>
    <w:rsid w:val="00851A6C"/>
    <w:rsid w:val="008523E6"/>
    <w:rsid w:val="00853663"/>
    <w:rsid w:val="00855AA7"/>
    <w:rsid w:val="00855BED"/>
    <w:rsid w:val="008636D4"/>
    <w:rsid w:val="00866519"/>
    <w:rsid w:val="00880205"/>
    <w:rsid w:val="0088045C"/>
    <w:rsid w:val="008812F0"/>
    <w:rsid w:val="00882AB8"/>
    <w:rsid w:val="00882C4A"/>
    <w:rsid w:val="0088382A"/>
    <w:rsid w:val="0088644F"/>
    <w:rsid w:val="00895DBF"/>
    <w:rsid w:val="008A0E49"/>
    <w:rsid w:val="008A1B1D"/>
    <w:rsid w:val="008A3A1F"/>
    <w:rsid w:val="008A444A"/>
    <w:rsid w:val="008A6924"/>
    <w:rsid w:val="008B0B31"/>
    <w:rsid w:val="008B2599"/>
    <w:rsid w:val="008B4C83"/>
    <w:rsid w:val="008B639C"/>
    <w:rsid w:val="008C043E"/>
    <w:rsid w:val="008C0554"/>
    <w:rsid w:val="008C7E83"/>
    <w:rsid w:val="008D15C5"/>
    <w:rsid w:val="008D22F3"/>
    <w:rsid w:val="008D3842"/>
    <w:rsid w:val="008D6157"/>
    <w:rsid w:val="008E0262"/>
    <w:rsid w:val="008E05DB"/>
    <w:rsid w:val="008E1210"/>
    <w:rsid w:val="008E2201"/>
    <w:rsid w:val="008E2C1D"/>
    <w:rsid w:val="008E687C"/>
    <w:rsid w:val="008F3647"/>
    <w:rsid w:val="008F3EDE"/>
    <w:rsid w:val="008F4F5C"/>
    <w:rsid w:val="008F6876"/>
    <w:rsid w:val="008F7F14"/>
    <w:rsid w:val="00902B61"/>
    <w:rsid w:val="00903853"/>
    <w:rsid w:val="0090393F"/>
    <w:rsid w:val="00905928"/>
    <w:rsid w:val="009068B7"/>
    <w:rsid w:val="00906FB7"/>
    <w:rsid w:val="00911D69"/>
    <w:rsid w:val="00913A67"/>
    <w:rsid w:val="00914644"/>
    <w:rsid w:val="009226D2"/>
    <w:rsid w:val="00923575"/>
    <w:rsid w:val="0092376E"/>
    <w:rsid w:val="009241FB"/>
    <w:rsid w:val="00924876"/>
    <w:rsid w:val="00924DE4"/>
    <w:rsid w:val="009252FE"/>
    <w:rsid w:val="00925438"/>
    <w:rsid w:val="009254AF"/>
    <w:rsid w:val="00926CBE"/>
    <w:rsid w:val="00931E59"/>
    <w:rsid w:val="00931F92"/>
    <w:rsid w:val="0093328D"/>
    <w:rsid w:val="00934DD5"/>
    <w:rsid w:val="00936ED4"/>
    <w:rsid w:val="00942969"/>
    <w:rsid w:val="00947E9D"/>
    <w:rsid w:val="009501E4"/>
    <w:rsid w:val="00953D8F"/>
    <w:rsid w:val="00955C61"/>
    <w:rsid w:val="009569CF"/>
    <w:rsid w:val="00956EB9"/>
    <w:rsid w:val="0095784A"/>
    <w:rsid w:val="00960482"/>
    <w:rsid w:val="009609C6"/>
    <w:rsid w:val="009626D7"/>
    <w:rsid w:val="00962D23"/>
    <w:rsid w:val="00963796"/>
    <w:rsid w:val="00964A20"/>
    <w:rsid w:val="00964ED9"/>
    <w:rsid w:val="0096783B"/>
    <w:rsid w:val="00972684"/>
    <w:rsid w:val="00974EB4"/>
    <w:rsid w:val="00975DC7"/>
    <w:rsid w:val="00977A84"/>
    <w:rsid w:val="0098311A"/>
    <w:rsid w:val="00993CA3"/>
    <w:rsid w:val="00996F85"/>
    <w:rsid w:val="009A29D4"/>
    <w:rsid w:val="009B0A7C"/>
    <w:rsid w:val="009B3B0E"/>
    <w:rsid w:val="009B4B8B"/>
    <w:rsid w:val="009B4F47"/>
    <w:rsid w:val="009B6985"/>
    <w:rsid w:val="009B7964"/>
    <w:rsid w:val="009C05C2"/>
    <w:rsid w:val="009C0810"/>
    <w:rsid w:val="009C0A42"/>
    <w:rsid w:val="009C2DC6"/>
    <w:rsid w:val="009C4B5F"/>
    <w:rsid w:val="009C55AB"/>
    <w:rsid w:val="009C792F"/>
    <w:rsid w:val="009D120D"/>
    <w:rsid w:val="009D360E"/>
    <w:rsid w:val="009E160C"/>
    <w:rsid w:val="009E21B0"/>
    <w:rsid w:val="009E57AB"/>
    <w:rsid w:val="009E6387"/>
    <w:rsid w:val="009F16A2"/>
    <w:rsid w:val="009F5311"/>
    <w:rsid w:val="00A003FF"/>
    <w:rsid w:val="00A02E1C"/>
    <w:rsid w:val="00A030A0"/>
    <w:rsid w:val="00A04AC0"/>
    <w:rsid w:val="00A04B84"/>
    <w:rsid w:val="00A14334"/>
    <w:rsid w:val="00A210C1"/>
    <w:rsid w:val="00A214BF"/>
    <w:rsid w:val="00A2522F"/>
    <w:rsid w:val="00A25F30"/>
    <w:rsid w:val="00A304D2"/>
    <w:rsid w:val="00A30D78"/>
    <w:rsid w:val="00A314FC"/>
    <w:rsid w:val="00A379D8"/>
    <w:rsid w:val="00A37DB0"/>
    <w:rsid w:val="00A42749"/>
    <w:rsid w:val="00A43D94"/>
    <w:rsid w:val="00A458AF"/>
    <w:rsid w:val="00A4799F"/>
    <w:rsid w:val="00A52AE3"/>
    <w:rsid w:val="00A63774"/>
    <w:rsid w:val="00A65E04"/>
    <w:rsid w:val="00A67B15"/>
    <w:rsid w:val="00A67BCA"/>
    <w:rsid w:val="00A7111B"/>
    <w:rsid w:val="00A71806"/>
    <w:rsid w:val="00A74DC3"/>
    <w:rsid w:val="00A757CC"/>
    <w:rsid w:val="00A75E46"/>
    <w:rsid w:val="00A8097A"/>
    <w:rsid w:val="00A81012"/>
    <w:rsid w:val="00A83668"/>
    <w:rsid w:val="00A84825"/>
    <w:rsid w:val="00A875CE"/>
    <w:rsid w:val="00A87BE9"/>
    <w:rsid w:val="00A9012F"/>
    <w:rsid w:val="00A92FE7"/>
    <w:rsid w:val="00A93298"/>
    <w:rsid w:val="00A94362"/>
    <w:rsid w:val="00AA00C1"/>
    <w:rsid w:val="00AA1003"/>
    <w:rsid w:val="00AA1E13"/>
    <w:rsid w:val="00AA2CA7"/>
    <w:rsid w:val="00AB1372"/>
    <w:rsid w:val="00AB27F9"/>
    <w:rsid w:val="00AB2822"/>
    <w:rsid w:val="00AB4EC4"/>
    <w:rsid w:val="00AC1D9D"/>
    <w:rsid w:val="00AC489A"/>
    <w:rsid w:val="00AC53E6"/>
    <w:rsid w:val="00AC690F"/>
    <w:rsid w:val="00AD0142"/>
    <w:rsid w:val="00AD3895"/>
    <w:rsid w:val="00AD4361"/>
    <w:rsid w:val="00AD4F29"/>
    <w:rsid w:val="00AD625A"/>
    <w:rsid w:val="00AD64C1"/>
    <w:rsid w:val="00AE3668"/>
    <w:rsid w:val="00AF2021"/>
    <w:rsid w:val="00AF4902"/>
    <w:rsid w:val="00AF4C2B"/>
    <w:rsid w:val="00B012C9"/>
    <w:rsid w:val="00B03EF8"/>
    <w:rsid w:val="00B07F4A"/>
    <w:rsid w:val="00B10E80"/>
    <w:rsid w:val="00B121D0"/>
    <w:rsid w:val="00B131AC"/>
    <w:rsid w:val="00B1350C"/>
    <w:rsid w:val="00B13D2C"/>
    <w:rsid w:val="00B1416F"/>
    <w:rsid w:val="00B146DB"/>
    <w:rsid w:val="00B167D9"/>
    <w:rsid w:val="00B2193F"/>
    <w:rsid w:val="00B22DF5"/>
    <w:rsid w:val="00B251BA"/>
    <w:rsid w:val="00B26180"/>
    <w:rsid w:val="00B27CAE"/>
    <w:rsid w:val="00B30F74"/>
    <w:rsid w:val="00B317C3"/>
    <w:rsid w:val="00B3278E"/>
    <w:rsid w:val="00B331DC"/>
    <w:rsid w:val="00B338FC"/>
    <w:rsid w:val="00B3525E"/>
    <w:rsid w:val="00B4040A"/>
    <w:rsid w:val="00B44743"/>
    <w:rsid w:val="00B45AA4"/>
    <w:rsid w:val="00B50D00"/>
    <w:rsid w:val="00B51225"/>
    <w:rsid w:val="00B534D0"/>
    <w:rsid w:val="00B53875"/>
    <w:rsid w:val="00B53C13"/>
    <w:rsid w:val="00B55728"/>
    <w:rsid w:val="00B55A68"/>
    <w:rsid w:val="00B56344"/>
    <w:rsid w:val="00B600D4"/>
    <w:rsid w:val="00B601CE"/>
    <w:rsid w:val="00B631A7"/>
    <w:rsid w:val="00B64F9F"/>
    <w:rsid w:val="00B6614C"/>
    <w:rsid w:val="00B6654C"/>
    <w:rsid w:val="00B70A47"/>
    <w:rsid w:val="00B72781"/>
    <w:rsid w:val="00B73029"/>
    <w:rsid w:val="00B75453"/>
    <w:rsid w:val="00B76A8A"/>
    <w:rsid w:val="00B82192"/>
    <w:rsid w:val="00B82E48"/>
    <w:rsid w:val="00B90E6A"/>
    <w:rsid w:val="00B916FF"/>
    <w:rsid w:val="00B9201C"/>
    <w:rsid w:val="00B95E15"/>
    <w:rsid w:val="00BA5B1F"/>
    <w:rsid w:val="00BA6B7E"/>
    <w:rsid w:val="00BB0CE9"/>
    <w:rsid w:val="00BB15AB"/>
    <w:rsid w:val="00BB31D3"/>
    <w:rsid w:val="00BB4E9E"/>
    <w:rsid w:val="00BB65E5"/>
    <w:rsid w:val="00BD091B"/>
    <w:rsid w:val="00BD1CF8"/>
    <w:rsid w:val="00BD4FEA"/>
    <w:rsid w:val="00BD6134"/>
    <w:rsid w:val="00BD6637"/>
    <w:rsid w:val="00BD6741"/>
    <w:rsid w:val="00BD67E1"/>
    <w:rsid w:val="00BD6AF6"/>
    <w:rsid w:val="00BE21E9"/>
    <w:rsid w:val="00BE2B90"/>
    <w:rsid w:val="00BE43E2"/>
    <w:rsid w:val="00BE5BC8"/>
    <w:rsid w:val="00BF0B64"/>
    <w:rsid w:val="00BF4F81"/>
    <w:rsid w:val="00BF700F"/>
    <w:rsid w:val="00C0127E"/>
    <w:rsid w:val="00C02216"/>
    <w:rsid w:val="00C1010F"/>
    <w:rsid w:val="00C14E5B"/>
    <w:rsid w:val="00C251BB"/>
    <w:rsid w:val="00C2602B"/>
    <w:rsid w:val="00C31AFE"/>
    <w:rsid w:val="00C33E5C"/>
    <w:rsid w:val="00C362C3"/>
    <w:rsid w:val="00C36F6F"/>
    <w:rsid w:val="00C40260"/>
    <w:rsid w:val="00C41B02"/>
    <w:rsid w:val="00C42BDE"/>
    <w:rsid w:val="00C42C7E"/>
    <w:rsid w:val="00C44C4B"/>
    <w:rsid w:val="00C45284"/>
    <w:rsid w:val="00C47295"/>
    <w:rsid w:val="00C472CE"/>
    <w:rsid w:val="00C506AE"/>
    <w:rsid w:val="00C524FD"/>
    <w:rsid w:val="00C5277B"/>
    <w:rsid w:val="00C54F84"/>
    <w:rsid w:val="00C54FE0"/>
    <w:rsid w:val="00C565F0"/>
    <w:rsid w:val="00C63CC5"/>
    <w:rsid w:val="00C64B22"/>
    <w:rsid w:val="00C67499"/>
    <w:rsid w:val="00C7026C"/>
    <w:rsid w:val="00C70D01"/>
    <w:rsid w:val="00C748E2"/>
    <w:rsid w:val="00C80900"/>
    <w:rsid w:val="00C8299C"/>
    <w:rsid w:val="00C84220"/>
    <w:rsid w:val="00C8628A"/>
    <w:rsid w:val="00C87D0E"/>
    <w:rsid w:val="00C918A3"/>
    <w:rsid w:val="00C93B39"/>
    <w:rsid w:val="00C949B3"/>
    <w:rsid w:val="00C9551E"/>
    <w:rsid w:val="00C9611E"/>
    <w:rsid w:val="00C9682C"/>
    <w:rsid w:val="00C97269"/>
    <w:rsid w:val="00C97D6E"/>
    <w:rsid w:val="00CA0682"/>
    <w:rsid w:val="00CA0E8B"/>
    <w:rsid w:val="00CA1E67"/>
    <w:rsid w:val="00CA4316"/>
    <w:rsid w:val="00CA6167"/>
    <w:rsid w:val="00CA68B0"/>
    <w:rsid w:val="00CA6ABC"/>
    <w:rsid w:val="00CB2A8F"/>
    <w:rsid w:val="00CB6153"/>
    <w:rsid w:val="00CB6F7D"/>
    <w:rsid w:val="00CB76F4"/>
    <w:rsid w:val="00CB7AD7"/>
    <w:rsid w:val="00CC08F7"/>
    <w:rsid w:val="00CD40A0"/>
    <w:rsid w:val="00CD62DE"/>
    <w:rsid w:val="00CE2848"/>
    <w:rsid w:val="00CE72B5"/>
    <w:rsid w:val="00CF0022"/>
    <w:rsid w:val="00CF2A0D"/>
    <w:rsid w:val="00D030B8"/>
    <w:rsid w:val="00D07C7B"/>
    <w:rsid w:val="00D07F28"/>
    <w:rsid w:val="00D1118F"/>
    <w:rsid w:val="00D169AF"/>
    <w:rsid w:val="00D21BEF"/>
    <w:rsid w:val="00D27AC8"/>
    <w:rsid w:val="00D30BC1"/>
    <w:rsid w:val="00D30EAC"/>
    <w:rsid w:val="00D34DCC"/>
    <w:rsid w:val="00D41069"/>
    <w:rsid w:val="00D42B20"/>
    <w:rsid w:val="00D43309"/>
    <w:rsid w:val="00D451E4"/>
    <w:rsid w:val="00D517B5"/>
    <w:rsid w:val="00D57946"/>
    <w:rsid w:val="00D71F44"/>
    <w:rsid w:val="00D728B4"/>
    <w:rsid w:val="00D74572"/>
    <w:rsid w:val="00D74A8E"/>
    <w:rsid w:val="00D75912"/>
    <w:rsid w:val="00D80C3A"/>
    <w:rsid w:val="00D82EF3"/>
    <w:rsid w:val="00D86138"/>
    <w:rsid w:val="00D90CE6"/>
    <w:rsid w:val="00D93236"/>
    <w:rsid w:val="00D93955"/>
    <w:rsid w:val="00D94063"/>
    <w:rsid w:val="00D94C71"/>
    <w:rsid w:val="00DA2772"/>
    <w:rsid w:val="00DA5364"/>
    <w:rsid w:val="00DA643C"/>
    <w:rsid w:val="00DB2F24"/>
    <w:rsid w:val="00DB47C4"/>
    <w:rsid w:val="00DB7947"/>
    <w:rsid w:val="00DC0BB3"/>
    <w:rsid w:val="00DC3023"/>
    <w:rsid w:val="00DC55BE"/>
    <w:rsid w:val="00DC6C82"/>
    <w:rsid w:val="00DC7EA9"/>
    <w:rsid w:val="00DD1CC9"/>
    <w:rsid w:val="00DD4A25"/>
    <w:rsid w:val="00DD683C"/>
    <w:rsid w:val="00DE2793"/>
    <w:rsid w:val="00DE7CF4"/>
    <w:rsid w:val="00DF3613"/>
    <w:rsid w:val="00DF7717"/>
    <w:rsid w:val="00E029BC"/>
    <w:rsid w:val="00E05D2A"/>
    <w:rsid w:val="00E11F16"/>
    <w:rsid w:val="00E12AC5"/>
    <w:rsid w:val="00E153F2"/>
    <w:rsid w:val="00E15D71"/>
    <w:rsid w:val="00E1792D"/>
    <w:rsid w:val="00E25CFB"/>
    <w:rsid w:val="00E2694D"/>
    <w:rsid w:val="00E27EEB"/>
    <w:rsid w:val="00E334DE"/>
    <w:rsid w:val="00E33D11"/>
    <w:rsid w:val="00E4243A"/>
    <w:rsid w:val="00E424C0"/>
    <w:rsid w:val="00E44864"/>
    <w:rsid w:val="00E46830"/>
    <w:rsid w:val="00E47CCA"/>
    <w:rsid w:val="00E5042B"/>
    <w:rsid w:val="00E54938"/>
    <w:rsid w:val="00E63C21"/>
    <w:rsid w:val="00E653CD"/>
    <w:rsid w:val="00E65C3B"/>
    <w:rsid w:val="00E65C76"/>
    <w:rsid w:val="00E701E2"/>
    <w:rsid w:val="00E71D1E"/>
    <w:rsid w:val="00E720AD"/>
    <w:rsid w:val="00E73B38"/>
    <w:rsid w:val="00E85176"/>
    <w:rsid w:val="00E856BF"/>
    <w:rsid w:val="00E86E4C"/>
    <w:rsid w:val="00E86E4F"/>
    <w:rsid w:val="00E87CA6"/>
    <w:rsid w:val="00E91A35"/>
    <w:rsid w:val="00EA02CB"/>
    <w:rsid w:val="00EA0638"/>
    <w:rsid w:val="00EA18D7"/>
    <w:rsid w:val="00EB08F6"/>
    <w:rsid w:val="00EB2AC6"/>
    <w:rsid w:val="00EB4A35"/>
    <w:rsid w:val="00EB6249"/>
    <w:rsid w:val="00EC1047"/>
    <w:rsid w:val="00EC1AB7"/>
    <w:rsid w:val="00EC325C"/>
    <w:rsid w:val="00ED4EE5"/>
    <w:rsid w:val="00EE474D"/>
    <w:rsid w:val="00EE485B"/>
    <w:rsid w:val="00EE4A48"/>
    <w:rsid w:val="00EF2E23"/>
    <w:rsid w:val="00EF35F3"/>
    <w:rsid w:val="00EF4357"/>
    <w:rsid w:val="00EF4685"/>
    <w:rsid w:val="00EF4BCE"/>
    <w:rsid w:val="00EF5846"/>
    <w:rsid w:val="00EF596F"/>
    <w:rsid w:val="00F03FC8"/>
    <w:rsid w:val="00F11B96"/>
    <w:rsid w:val="00F13574"/>
    <w:rsid w:val="00F15FBE"/>
    <w:rsid w:val="00F208D3"/>
    <w:rsid w:val="00F20FEA"/>
    <w:rsid w:val="00F230ED"/>
    <w:rsid w:val="00F233C7"/>
    <w:rsid w:val="00F24298"/>
    <w:rsid w:val="00F26046"/>
    <w:rsid w:val="00F306F4"/>
    <w:rsid w:val="00F35941"/>
    <w:rsid w:val="00F4107A"/>
    <w:rsid w:val="00F42969"/>
    <w:rsid w:val="00F44A4A"/>
    <w:rsid w:val="00F52CF6"/>
    <w:rsid w:val="00F53A69"/>
    <w:rsid w:val="00F55F60"/>
    <w:rsid w:val="00F56C42"/>
    <w:rsid w:val="00F63558"/>
    <w:rsid w:val="00F63E2A"/>
    <w:rsid w:val="00F6499F"/>
    <w:rsid w:val="00F65C26"/>
    <w:rsid w:val="00F74A26"/>
    <w:rsid w:val="00F77B75"/>
    <w:rsid w:val="00F82DFC"/>
    <w:rsid w:val="00F84BD0"/>
    <w:rsid w:val="00F87AC9"/>
    <w:rsid w:val="00F94702"/>
    <w:rsid w:val="00F955E1"/>
    <w:rsid w:val="00F96E64"/>
    <w:rsid w:val="00FA084D"/>
    <w:rsid w:val="00FA300C"/>
    <w:rsid w:val="00FA3D72"/>
    <w:rsid w:val="00FA6E51"/>
    <w:rsid w:val="00FB3C3A"/>
    <w:rsid w:val="00FB761E"/>
    <w:rsid w:val="00FC2D91"/>
    <w:rsid w:val="00FC500A"/>
    <w:rsid w:val="00FC5A38"/>
    <w:rsid w:val="00FC6611"/>
    <w:rsid w:val="00FE11D6"/>
    <w:rsid w:val="00FE13B8"/>
    <w:rsid w:val="00FE1723"/>
    <w:rsid w:val="00FE27B3"/>
    <w:rsid w:val="00FE3001"/>
    <w:rsid w:val="00FE6C17"/>
    <w:rsid w:val="00FF2BB0"/>
    <w:rsid w:val="00FF3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027A"/>
  <w14:defaultImageDpi w14:val="32767"/>
  <w15:chartTrackingRefBased/>
  <w15:docId w15:val="{6D650D7E-CBEF-804E-BC89-DF9B2B6D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5DC"/>
    <w:pPr>
      <w:ind w:left="720"/>
      <w:contextualSpacing/>
    </w:pPr>
  </w:style>
  <w:style w:type="paragraph" w:styleId="NormalWeb">
    <w:name w:val="Normal (Web)"/>
    <w:basedOn w:val="Normal"/>
    <w:uiPriority w:val="99"/>
    <w:unhideWhenUsed/>
    <w:rsid w:val="00CB76F4"/>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8C05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895"/>
    <w:pPr>
      <w:tabs>
        <w:tab w:val="center" w:pos="4536"/>
        <w:tab w:val="right" w:pos="9072"/>
      </w:tabs>
    </w:pPr>
  </w:style>
  <w:style w:type="character" w:customStyle="1" w:styleId="En-tteCar">
    <w:name w:val="En-tête Car"/>
    <w:basedOn w:val="Policepardfaut"/>
    <w:link w:val="En-tte"/>
    <w:uiPriority w:val="99"/>
    <w:rsid w:val="00AD3895"/>
  </w:style>
  <w:style w:type="paragraph" w:styleId="Pieddepage">
    <w:name w:val="footer"/>
    <w:basedOn w:val="Normal"/>
    <w:link w:val="PieddepageCar"/>
    <w:uiPriority w:val="99"/>
    <w:unhideWhenUsed/>
    <w:rsid w:val="00AD3895"/>
    <w:pPr>
      <w:tabs>
        <w:tab w:val="center" w:pos="4536"/>
        <w:tab w:val="right" w:pos="9072"/>
      </w:tabs>
    </w:pPr>
  </w:style>
  <w:style w:type="character" w:customStyle="1" w:styleId="PieddepageCar">
    <w:name w:val="Pied de page Car"/>
    <w:basedOn w:val="Policepardfaut"/>
    <w:link w:val="Pieddepage"/>
    <w:uiPriority w:val="99"/>
    <w:rsid w:val="00AD3895"/>
  </w:style>
  <w:style w:type="character" w:styleId="Numrodepage">
    <w:name w:val="page number"/>
    <w:basedOn w:val="Policepardfaut"/>
    <w:uiPriority w:val="99"/>
    <w:semiHidden/>
    <w:unhideWhenUsed/>
    <w:rsid w:val="00C9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67801">
      <w:bodyDiv w:val="1"/>
      <w:marLeft w:val="0"/>
      <w:marRight w:val="0"/>
      <w:marTop w:val="0"/>
      <w:marBottom w:val="0"/>
      <w:divBdr>
        <w:top w:val="none" w:sz="0" w:space="0" w:color="auto"/>
        <w:left w:val="none" w:sz="0" w:space="0" w:color="auto"/>
        <w:bottom w:val="none" w:sz="0" w:space="0" w:color="auto"/>
        <w:right w:val="none" w:sz="0" w:space="0" w:color="auto"/>
      </w:divBdr>
      <w:divsChild>
        <w:div w:id="1227454619">
          <w:marLeft w:val="0"/>
          <w:marRight w:val="0"/>
          <w:marTop w:val="0"/>
          <w:marBottom w:val="0"/>
          <w:divBdr>
            <w:top w:val="none" w:sz="0" w:space="0" w:color="auto"/>
            <w:left w:val="none" w:sz="0" w:space="0" w:color="auto"/>
            <w:bottom w:val="none" w:sz="0" w:space="0" w:color="auto"/>
            <w:right w:val="none" w:sz="0" w:space="0" w:color="auto"/>
          </w:divBdr>
          <w:divsChild>
            <w:div w:id="1929539123">
              <w:marLeft w:val="0"/>
              <w:marRight w:val="0"/>
              <w:marTop w:val="0"/>
              <w:marBottom w:val="0"/>
              <w:divBdr>
                <w:top w:val="none" w:sz="0" w:space="0" w:color="auto"/>
                <w:left w:val="none" w:sz="0" w:space="0" w:color="auto"/>
                <w:bottom w:val="none" w:sz="0" w:space="0" w:color="auto"/>
                <w:right w:val="none" w:sz="0" w:space="0" w:color="auto"/>
              </w:divBdr>
              <w:divsChild>
                <w:div w:id="1167138638">
                  <w:marLeft w:val="0"/>
                  <w:marRight w:val="0"/>
                  <w:marTop w:val="0"/>
                  <w:marBottom w:val="0"/>
                  <w:divBdr>
                    <w:top w:val="none" w:sz="0" w:space="0" w:color="auto"/>
                    <w:left w:val="none" w:sz="0" w:space="0" w:color="auto"/>
                    <w:bottom w:val="none" w:sz="0" w:space="0" w:color="auto"/>
                    <w:right w:val="none" w:sz="0" w:space="0" w:color="auto"/>
                  </w:divBdr>
                  <w:divsChild>
                    <w:div w:id="18826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1631">
      <w:bodyDiv w:val="1"/>
      <w:marLeft w:val="0"/>
      <w:marRight w:val="0"/>
      <w:marTop w:val="0"/>
      <w:marBottom w:val="0"/>
      <w:divBdr>
        <w:top w:val="none" w:sz="0" w:space="0" w:color="auto"/>
        <w:left w:val="none" w:sz="0" w:space="0" w:color="auto"/>
        <w:bottom w:val="none" w:sz="0" w:space="0" w:color="auto"/>
        <w:right w:val="none" w:sz="0" w:space="0" w:color="auto"/>
      </w:divBdr>
      <w:divsChild>
        <w:div w:id="461197848">
          <w:marLeft w:val="0"/>
          <w:marRight w:val="0"/>
          <w:marTop w:val="0"/>
          <w:marBottom w:val="0"/>
          <w:divBdr>
            <w:top w:val="none" w:sz="0" w:space="0" w:color="auto"/>
            <w:left w:val="none" w:sz="0" w:space="0" w:color="auto"/>
            <w:bottom w:val="none" w:sz="0" w:space="0" w:color="auto"/>
            <w:right w:val="none" w:sz="0" w:space="0" w:color="auto"/>
          </w:divBdr>
          <w:divsChild>
            <w:div w:id="573931456">
              <w:marLeft w:val="0"/>
              <w:marRight w:val="0"/>
              <w:marTop w:val="0"/>
              <w:marBottom w:val="0"/>
              <w:divBdr>
                <w:top w:val="none" w:sz="0" w:space="0" w:color="auto"/>
                <w:left w:val="none" w:sz="0" w:space="0" w:color="auto"/>
                <w:bottom w:val="none" w:sz="0" w:space="0" w:color="auto"/>
                <w:right w:val="none" w:sz="0" w:space="0" w:color="auto"/>
              </w:divBdr>
              <w:divsChild>
                <w:div w:id="562911833">
                  <w:marLeft w:val="0"/>
                  <w:marRight w:val="0"/>
                  <w:marTop w:val="0"/>
                  <w:marBottom w:val="0"/>
                  <w:divBdr>
                    <w:top w:val="none" w:sz="0" w:space="0" w:color="auto"/>
                    <w:left w:val="none" w:sz="0" w:space="0" w:color="auto"/>
                    <w:bottom w:val="none" w:sz="0" w:space="0" w:color="auto"/>
                    <w:right w:val="none" w:sz="0" w:space="0" w:color="auto"/>
                  </w:divBdr>
                  <w:divsChild>
                    <w:div w:id="20159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07140">
      <w:bodyDiv w:val="1"/>
      <w:marLeft w:val="0"/>
      <w:marRight w:val="0"/>
      <w:marTop w:val="0"/>
      <w:marBottom w:val="0"/>
      <w:divBdr>
        <w:top w:val="none" w:sz="0" w:space="0" w:color="auto"/>
        <w:left w:val="none" w:sz="0" w:space="0" w:color="auto"/>
        <w:bottom w:val="none" w:sz="0" w:space="0" w:color="auto"/>
        <w:right w:val="none" w:sz="0" w:space="0" w:color="auto"/>
      </w:divBdr>
      <w:divsChild>
        <w:div w:id="74405828">
          <w:marLeft w:val="0"/>
          <w:marRight w:val="0"/>
          <w:marTop w:val="0"/>
          <w:marBottom w:val="0"/>
          <w:divBdr>
            <w:top w:val="none" w:sz="0" w:space="0" w:color="auto"/>
            <w:left w:val="none" w:sz="0" w:space="0" w:color="auto"/>
            <w:bottom w:val="none" w:sz="0" w:space="0" w:color="auto"/>
            <w:right w:val="none" w:sz="0" w:space="0" w:color="auto"/>
          </w:divBdr>
          <w:divsChild>
            <w:div w:id="175464855">
              <w:marLeft w:val="0"/>
              <w:marRight w:val="0"/>
              <w:marTop w:val="0"/>
              <w:marBottom w:val="0"/>
              <w:divBdr>
                <w:top w:val="none" w:sz="0" w:space="0" w:color="auto"/>
                <w:left w:val="none" w:sz="0" w:space="0" w:color="auto"/>
                <w:bottom w:val="none" w:sz="0" w:space="0" w:color="auto"/>
                <w:right w:val="none" w:sz="0" w:space="0" w:color="auto"/>
              </w:divBdr>
              <w:divsChild>
                <w:div w:id="40713848">
                  <w:marLeft w:val="0"/>
                  <w:marRight w:val="0"/>
                  <w:marTop w:val="0"/>
                  <w:marBottom w:val="0"/>
                  <w:divBdr>
                    <w:top w:val="none" w:sz="0" w:space="0" w:color="auto"/>
                    <w:left w:val="none" w:sz="0" w:space="0" w:color="auto"/>
                    <w:bottom w:val="none" w:sz="0" w:space="0" w:color="auto"/>
                    <w:right w:val="none" w:sz="0" w:space="0" w:color="auto"/>
                  </w:divBdr>
                  <w:divsChild>
                    <w:div w:id="12514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8217">
      <w:bodyDiv w:val="1"/>
      <w:marLeft w:val="0"/>
      <w:marRight w:val="0"/>
      <w:marTop w:val="0"/>
      <w:marBottom w:val="0"/>
      <w:divBdr>
        <w:top w:val="none" w:sz="0" w:space="0" w:color="auto"/>
        <w:left w:val="none" w:sz="0" w:space="0" w:color="auto"/>
        <w:bottom w:val="none" w:sz="0" w:space="0" w:color="auto"/>
        <w:right w:val="none" w:sz="0" w:space="0" w:color="auto"/>
      </w:divBdr>
      <w:divsChild>
        <w:div w:id="1346051528">
          <w:marLeft w:val="0"/>
          <w:marRight w:val="0"/>
          <w:marTop w:val="0"/>
          <w:marBottom w:val="0"/>
          <w:divBdr>
            <w:top w:val="none" w:sz="0" w:space="0" w:color="auto"/>
            <w:left w:val="none" w:sz="0" w:space="0" w:color="auto"/>
            <w:bottom w:val="none" w:sz="0" w:space="0" w:color="auto"/>
            <w:right w:val="none" w:sz="0" w:space="0" w:color="auto"/>
          </w:divBdr>
          <w:divsChild>
            <w:div w:id="1432630324">
              <w:marLeft w:val="0"/>
              <w:marRight w:val="0"/>
              <w:marTop w:val="0"/>
              <w:marBottom w:val="0"/>
              <w:divBdr>
                <w:top w:val="none" w:sz="0" w:space="0" w:color="auto"/>
                <w:left w:val="none" w:sz="0" w:space="0" w:color="auto"/>
                <w:bottom w:val="none" w:sz="0" w:space="0" w:color="auto"/>
                <w:right w:val="none" w:sz="0" w:space="0" w:color="auto"/>
              </w:divBdr>
              <w:divsChild>
                <w:div w:id="1033114077">
                  <w:marLeft w:val="0"/>
                  <w:marRight w:val="0"/>
                  <w:marTop w:val="0"/>
                  <w:marBottom w:val="0"/>
                  <w:divBdr>
                    <w:top w:val="none" w:sz="0" w:space="0" w:color="auto"/>
                    <w:left w:val="none" w:sz="0" w:space="0" w:color="auto"/>
                    <w:bottom w:val="none" w:sz="0" w:space="0" w:color="auto"/>
                    <w:right w:val="none" w:sz="0" w:space="0" w:color="auto"/>
                  </w:divBdr>
                  <w:divsChild>
                    <w:div w:id="4857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1741">
      <w:bodyDiv w:val="1"/>
      <w:marLeft w:val="0"/>
      <w:marRight w:val="0"/>
      <w:marTop w:val="0"/>
      <w:marBottom w:val="0"/>
      <w:divBdr>
        <w:top w:val="none" w:sz="0" w:space="0" w:color="auto"/>
        <w:left w:val="none" w:sz="0" w:space="0" w:color="auto"/>
        <w:bottom w:val="none" w:sz="0" w:space="0" w:color="auto"/>
        <w:right w:val="none" w:sz="0" w:space="0" w:color="auto"/>
      </w:divBdr>
      <w:divsChild>
        <w:div w:id="173615141">
          <w:marLeft w:val="0"/>
          <w:marRight w:val="0"/>
          <w:marTop w:val="0"/>
          <w:marBottom w:val="0"/>
          <w:divBdr>
            <w:top w:val="none" w:sz="0" w:space="0" w:color="auto"/>
            <w:left w:val="none" w:sz="0" w:space="0" w:color="auto"/>
            <w:bottom w:val="none" w:sz="0" w:space="0" w:color="auto"/>
            <w:right w:val="none" w:sz="0" w:space="0" w:color="auto"/>
          </w:divBdr>
          <w:divsChild>
            <w:div w:id="1180042134">
              <w:marLeft w:val="0"/>
              <w:marRight w:val="0"/>
              <w:marTop w:val="0"/>
              <w:marBottom w:val="0"/>
              <w:divBdr>
                <w:top w:val="none" w:sz="0" w:space="0" w:color="auto"/>
                <w:left w:val="none" w:sz="0" w:space="0" w:color="auto"/>
                <w:bottom w:val="none" w:sz="0" w:space="0" w:color="auto"/>
                <w:right w:val="none" w:sz="0" w:space="0" w:color="auto"/>
              </w:divBdr>
              <w:divsChild>
                <w:div w:id="1951625889">
                  <w:marLeft w:val="0"/>
                  <w:marRight w:val="0"/>
                  <w:marTop w:val="0"/>
                  <w:marBottom w:val="0"/>
                  <w:divBdr>
                    <w:top w:val="none" w:sz="0" w:space="0" w:color="auto"/>
                    <w:left w:val="none" w:sz="0" w:space="0" w:color="auto"/>
                    <w:bottom w:val="none" w:sz="0" w:space="0" w:color="auto"/>
                    <w:right w:val="none" w:sz="0" w:space="0" w:color="auto"/>
                  </w:divBdr>
                  <w:divsChild>
                    <w:div w:id="14873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9266">
      <w:bodyDiv w:val="1"/>
      <w:marLeft w:val="0"/>
      <w:marRight w:val="0"/>
      <w:marTop w:val="0"/>
      <w:marBottom w:val="0"/>
      <w:divBdr>
        <w:top w:val="none" w:sz="0" w:space="0" w:color="auto"/>
        <w:left w:val="none" w:sz="0" w:space="0" w:color="auto"/>
        <w:bottom w:val="none" w:sz="0" w:space="0" w:color="auto"/>
        <w:right w:val="none" w:sz="0" w:space="0" w:color="auto"/>
      </w:divBdr>
      <w:divsChild>
        <w:div w:id="2011984048">
          <w:marLeft w:val="0"/>
          <w:marRight w:val="0"/>
          <w:marTop w:val="0"/>
          <w:marBottom w:val="0"/>
          <w:divBdr>
            <w:top w:val="none" w:sz="0" w:space="0" w:color="auto"/>
            <w:left w:val="none" w:sz="0" w:space="0" w:color="auto"/>
            <w:bottom w:val="none" w:sz="0" w:space="0" w:color="auto"/>
            <w:right w:val="none" w:sz="0" w:space="0" w:color="auto"/>
          </w:divBdr>
          <w:divsChild>
            <w:div w:id="1059791851">
              <w:marLeft w:val="0"/>
              <w:marRight w:val="0"/>
              <w:marTop w:val="0"/>
              <w:marBottom w:val="0"/>
              <w:divBdr>
                <w:top w:val="none" w:sz="0" w:space="0" w:color="auto"/>
                <w:left w:val="none" w:sz="0" w:space="0" w:color="auto"/>
                <w:bottom w:val="none" w:sz="0" w:space="0" w:color="auto"/>
                <w:right w:val="none" w:sz="0" w:space="0" w:color="auto"/>
              </w:divBdr>
              <w:divsChild>
                <w:div w:id="446588987">
                  <w:marLeft w:val="0"/>
                  <w:marRight w:val="0"/>
                  <w:marTop w:val="0"/>
                  <w:marBottom w:val="0"/>
                  <w:divBdr>
                    <w:top w:val="none" w:sz="0" w:space="0" w:color="auto"/>
                    <w:left w:val="none" w:sz="0" w:space="0" w:color="auto"/>
                    <w:bottom w:val="none" w:sz="0" w:space="0" w:color="auto"/>
                    <w:right w:val="none" w:sz="0" w:space="0" w:color="auto"/>
                  </w:divBdr>
                  <w:divsChild>
                    <w:div w:id="9376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92443">
      <w:bodyDiv w:val="1"/>
      <w:marLeft w:val="0"/>
      <w:marRight w:val="0"/>
      <w:marTop w:val="0"/>
      <w:marBottom w:val="0"/>
      <w:divBdr>
        <w:top w:val="none" w:sz="0" w:space="0" w:color="auto"/>
        <w:left w:val="none" w:sz="0" w:space="0" w:color="auto"/>
        <w:bottom w:val="none" w:sz="0" w:space="0" w:color="auto"/>
        <w:right w:val="none" w:sz="0" w:space="0" w:color="auto"/>
      </w:divBdr>
      <w:divsChild>
        <w:div w:id="1745030664">
          <w:marLeft w:val="0"/>
          <w:marRight w:val="0"/>
          <w:marTop w:val="0"/>
          <w:marBottom w:val="0"/>
          <w:divBdr>
            <w:top w:val="none" w:sz="0" w:space="0" w:color="auto"/>
            <w:left w:val="none" w:sz="0" w:space="0" w:color="auto"/>
            <w:bottom w:val="none" w:sz="0" w:space="0" w:color="auto"/>
            <w:right w:val="none" w:sz="0" w:space="0" w:color="auto"/>
          </w:divBdr>
          <w:divsChild>
            <w:div w:id="970137581">
              <w:marLeft w:val="0"/>
              <w:marRight w:val="0"/>
              <w:marTop w:val="0"/>
              <w:marBottom w:val="0"/>
              <w:divBdr>
                <w:top w:val="none" w:sz="0" w:space="0" w:color="auto"/>
                <w:left w:val="none" w:sz="0" w:space="0" w:color="auto"/>
                <w:bottom w:val="none" w:sz="0" w:space="0" w:color="auto"/>
                <w:right w:val="none" w:sz="0" w:space="0" w:color="auto"/>
              </w:divBdr>
              <w:divsChild>
                <w:div w:id="253823228">
                  <w:marLeft w:val="0"/>
                  <w:marRight w:val="0"/>
                  <w:marTop w:val="0"/>
                  <w:marBottom w:val="0"/>
                  <w:divBdr>
                    <w:top w:val="none" w:sz="0" w:space="0" w:color="auto"/>
                    <w:left w:val="none" w:sz="0" w:space="0" w:color="auto"/>
                    <w:bottom w:val="none" w:sz="0" w:space="0" w:color="auto"/>
                    <w:right w:val="none" w:sz="0" w:space="0" w:color="auto"/>
                  </w:divBdr>
                  <w:divsChild>
                    <w:div w:id="2398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0609">
      <w:bodyDiv w:val="1"/>
      <w:marLeft w:val="0"/>
      <w:marRight w:val="0"/>
      <w:marTop w:val="0"/>
      <w:marBottom w:val="0"/>
      <w:divBdr>
        <w:top w:val="none" w:sz="0" w:space="0" w:color="auto"/>
        <w:left w:val="none" w:sz="0" w:space="0" w:color="auto"/>
        <w:bottom w:val="none" w:sz="0" w:space="0" w:color="auto"/>
        <w:right w:val="none" w:sz="0" w:space="0" w:color="auto"/>
      </w:divBdr>
      <w:divsChild>
        <w:div w:id="111823559">
          <w:marLeft w:val="0"/>
          <w:marRight w:val="0"/>
          <w:marTop w:val="0"/>
          <w:marBottom w:val="0"/>
          <w:divBdr>
            <w:top w:val="none" w:sz="0" w:space="0" w:color="auto"/>
            <w:left w:val="none" w:sz="0" w:space="0" w:color="auto"/>
            <w:bottom w:val="none" w:sz="0" w:space="0" w:color="auto"/>
            <w:right w:val="none" w:sz="0" w:space="0" w:color="auto"/>
          </w:divBdr>
          <w:divsChild>
            <w:div w:id="2053000127">
              <w:marLeft w:val="0"/>
              <w:marRight w:val="0"/>
              <w:marTop w:val="0"/>
              <w:marBottom w:val="0"/>
              <w:divBdr>
                <w:top w:val="none" w:sz="0" w:space="0" w:color="auto"/>
                <w:left w:val="none" w:sz="0" w:space="0" w:color="auto"/>
                <w:bottom w:val="none" w:sz="0" w:space="0" w:color="auto"/>
                <w:right w:val="none" w:sz="0" w:space="0" w:color="auto"/>
              </w:divBdr>
              <w:divsChild>
                <w:div w:id="188219902">
                  <w:marLeft w:val="0"/>
                  <w:marRight w:val="0"/>
                  <w:marTop w:val="0"/>
                  <w:marBottom w:val="0"/>
                  <w:divBdr>
                    <w:top w:val="none" w:sz="0" w:space="0" w:color="auto"/>
                    <w:left w:val="none" w:sz="0" w:space="0" w:color="auto"/>
                    <w:bottom w:val="none" w:sz="0" w:space="0" w:color="auto"/>
                    <w:right w:val="none" w:sz="0" w:space="0" w:color="auto"/>
                  </w:divBdr>
                  <w:divsChild>
                    <w:div w:id="1409956788">
                      <w:marLeft w:val="0"/>
                      <w:marRight w:val="0"/>
                      <w:marTop w:val="0"/>
                      <w:marBottom w:val="0"/>
                      <w:divBdr>
                        <w:top w:val="none" w:sz="0" w:space="0" w:color="auto"/>
                        <w:left w:val="none" w:sz="0" w:space="0" w:color="auto"/>
                        <w:bottom w:val="none" w:sz="0" w:space="0" w:color="auto"/>
                        <w:right w:val="none" w:sz="0" w:space="0" w:color="auto"/>
                      </w:divBdr>
                    </w:div>
                  </w:divsChild>
                </w:div>
                <w:div w:id="1938168630">
                  <w:marLeft w:val="0"/>
                  <w:marRight w:val="0"/>
                  <w:marTop w:val="0"/>
                  <w:marBottom w:val="0"/>
                  <w:divBdr>
                    <w:top w:val="none" w:sz="0" w:space="0" w:color="auto"/>
                    <w:left w:val="none" w:sz="0" w:space="0" w:color="auto"/>
                    <w:bottom w:val="none" w:sz="0" w:space="0" w:color="auto"/>
                    <w:right w:val="none" w:sz="0" w:space="0" w:color="auto"/>
                  </w:divBdr>
                  <w:divsChild>
                    <w:div w:id="55588520">
                      <w:marLeft w:val="0"/>
                      <w:marRight w:val="0"/>
                      <w:marTop w:val="0"/>
                      <w:marBottom w:val="0"/>
                      <w:divBdr>
                        <w:top w:val="none" w:sz="0" w:space="0" w:color="auto"/>
                        <w:left w:val="none" w:sz="0" w:space="0" w:color="auto"/>
                        <w:bottom w:val="none" w:sz="0" w:space="0" w:color="auto"/>
                        <w:right w:val="none" w:sz="0" w:space="0" w:color="auto"/>
                      </w:divBdr>
                    </w:div>
                  </w:divsChild>
                </w:div>
                <w:div w:id="1724595915">
                  <w:marLeft w:val="0"/>
                  <w:marRight w:val="0"/>
                  <w:marTop w:val="0"/>
                  <w:marBottom w:val="0"/>
                  <w:divBdr>
                    <w:top w:val="none" w:sz="0" w:space="0" w:color="auto"/>
                    <w:left w:val="none" w:sz="0" w:space="0" w:color="auto"/>
                    <w:bottom w:val="none" w:sz="0" w:space="0" w:color="auto"/>
                    <w:right w:val="none" w:sz="0" w:space="0" w:color="auto"/>
                  </w:divBdr>
                  <w:divsChild>
                    <w:div w:id="19449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2501">
      <w:bodyDiv w:val="1"/>
      <w:marLeft w:val="0"/>
      <w:marRight w:val="0"/>
      <w:marTop w:val="0"/>
      <w:marBottom w:val="0"/>
      <w:divBdr>
        <w:top w:val="none" w:sz="0" w:space="0" w:color="auto"/>
        <w:left w:val="none" w:sz="0" w:space="0" w:color="auto"/>
        <w:bottom w:val="none" w:sz="0" w:space="0" w:color="auto"/>
        <w:right w:val="none" w:sz="0" w:space="0" w:color="auto"/>
      </w:divBdr>
      <w:divsChild>
        <w:div w:id="778573058">
          <w:marLeft w:val="0"/>
          <w:marRight w:val="0"/>
          <w:marTop w:val="0"/>
          <w:marBottom w:val="0"/>
          <w:divBdr>
            <w:top w:val="none" w:sz="0" w:space="0" w:color="auto"/>
            <w:left w:val="none" w:sz="0" w:space="0" w:color="auto"/>
            <w:bottom w:val="none" w:sz="0" w:space="0" w:color="auto"/>
            <w:right w:val="none" w:sz="0" w:space="0" w:color="auto"/>
          </w:divBdr>
          <w:divsChild>
            <w:div w:id="1498955565">
              <w:marLeft w:val="0"/>
              <w:marRight w:val="0"/>
              <w:marTop w:val="0"/>
              <w:marBottom w:val="0"/>
              <w:divBdr>
                <w:top w:val="none" w:sz="0" w:space="0" w:color="auto"/>
                <w:left w:val="none" w:sz="0" w:space="0" w:color="auto"/>
                <w:bottom w:val="none" w:sz="0" w:space="0" w:color="auto"/>
                <w:right w:val="none" w:sz="0" w:space="0" w:color="auto"/>
              </w:divBdr>
              <w:divsChild>
                <w:div w:id="1363822936">
                  <w:marLeft w:val="0"/>
                  <w:marRight w:val="0"/>
                  <w:marTop w:val="0"/>
                  <w:marBottom w:val="0"/>
                  <w:divBdr>
                    <w:top w:val="none" w:sz="0" w:space="0" w:color="auto"/>
                    <w:left w:val="none" w:sz="0" w:space="0" w:color="auto"/>
                    <w:bottom w:val="none" w:sz="0" w:space="0" w:color="auto"/>
                    <w:right w:val="none" w:sz="0" w:space="0" w:color="auto"/>
                  </w:divBdr>
                  <w:divsChild>
                    <w:div w:id="19704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9414">
      <w:bodyDiv w:val="1"/>
      <w:marLeft w:val="0"/>
      <w:marRight w:val="0"/>
      <w:marTop w:val="0"/>
      <w:marBottom w:val="0"/>
      <w:divBdr>
        <w:top w:val="none" w:sz="0" w:space="0" w:color="auto"/>
        <w:left w:val="none" w:sz="0" w:space="0" w:color="auto"/>
        <w:bottom w:val="none" w:sz="0" w:space="0" w:color="auto"/>
        <w:right w:val="none" w:sz="0" w:space="0" w:color="auto"/>
      </w:divBdr>
      <w:divsChild>
        <w:div w:id="2073892955">
          <w:marLeft w:val="0"/>
          <w:marRight w:val="0"/>
          <w:marTop w:val="0"/>
          <w:marBottom w:val="0"/>
          <w:divBdr>
            <w:top w:val="none" w:sz="0" w:space="0" w:color="auto"/>
            <w:left w:val="none" w:sz="0" w:space="0" w:color="auto"/>
            <w:bottom w:val="none" w:sz="0" w:space="0" w:color="auto"/>
            <w:right w:val="none" w:sz="0" w:space="0" w:color="auto"/>
          </w:divBdr>
          <w:divsChild>
            <w:div w:id="1316035152">
              <w:marLeft w:val="0"/>
              <w:marRight w:val="0"/>
              <w:marTop w:val="0"/>
              <w:marBottom w:val="0"/>
              <w:divBdr>
                <w:top w:val="none" w:sz="0" w:space="0" w:color="auto"/>
                <w:left w:val="none" w:sz="0" w:space="0" w:color="auto"/>
                <w:bottom w:val="none" w:sz="0" w:space="0" w:color="auto"/>
                <w:right w:val="none" w:sz="0" w:space="0" w:color="auto"/>
              </w:divBdr>
              <w:divsChild>
                <w:div w:id="2115898130">
                  <w:marLeft w:val="0"/>
                  <w:marRight w:val="0"/>
                  <w:marTop w:val="0"/>
                  <w:marBottom w:val="0"/>
                  <w:divBdr>
                    <w:top w:val="none" w:sz="0" w:space="0" w:color="auto"/>
                    <w:left w:val="none" w:sz="0" w:space="0" w:color="auto"/>
                    <w:bottom w:val="none" w:sz="0" w:space="0" w:color="auto"/>
                    <w:right w:val="none" w:sz="0" w:space="0" w:color="auto"/>
                  </w:divBdr>
                  <w:divsChild>
                    <w:div w:id="11184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77833">
      <w:bodyDiv w:val="1"/>
      <w:marLeft w:val="0"/>
      <w:marRight w:val="0"/>
      <w:marTop w:val="0"/>
      <w:marBottom w:val="0"/>
      <w:divBdr>
        <w:top w:val="none" w:sz="0" w:space="0" w:color="auto"/>
        <w:left w:val="none" w:sz="0" w:space="0" w:color="auto"/>
        <w:bottom w:val="none" w:sz="0" w:space="0" w:color="auto"/>
        <w:right w:val="none" w:sz="0" w:space="0" w:color="auto"/>
      </w:divBdr>
      <w:divsChild>
        <w:div w:id="2098356417">
          <w:marLeft w:val="0"/>
          <w:marRight w:val="0"/>
          <w:marTop w:val="0"/>
          <w:marBottom w:val="0"/>
          <w:divBdr>
            <w:top w:val="none" w:sz="0" w:space="0" w:color="auto"/>
            <w:left w:val="none" w:sz="0" w:space="0" w:color="auto"/>
            <w:bottom w:val="none" w:sz="0" w:space="0" w:color="auto"/>
            <w:right w:val="none" w:sz="0" w:space="0" w:color="auto"/>
          </w:divBdr>
          <w:divsChild>
            <w:div w:id="1625114545">
              <w:marLeft w:val="0"/>
              <w:marRight w:val="0"/>
              <w:marTop w:val="0"/>
              <w:marBottom w:val="0"/>
              <w:divBdr>
                <w:top w:val="none" w:sz="0" w:space="0" w:color="auto"/>
                <w:left w:val="none" w:sz="0" w:space="0" w:color="auto"/>
                <w:bottom w:val="none" w:sz="0" w:space="0" w:color="auto"/>
                <w:right w:val="none" w:sz="0" w:space="0" w:color="auto"/>
              </w:divBdr>
              <w:divsChild>
                <w:div w:id="239482633">
                  <w:marLeft w:val="0"/>
                  <w:marRight w:val="0"/>
                  <w:marTop w:val="0"/>
                  <w:marBottom w:val="0"/>
                  <w:divBdr>
                    <w:top w:val="none" w:sz="0" w:space="0" w:color="auto"/>
                    <w:left w:val="none" w:sz="0" w:space="0" w:color="auto"/>
                    <w:bottom w:val="none" w:sz="0" w:space="0" w:color="auto"/>
                    <w:right w:val="none" w:sz="0" w:space="0" w:color="auto"/>
                  </w:divBdr>
                  <w:divsChild>
                    <w:div w:id="14871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is-bf.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ris-bf.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74C0-5CF7-154B-9420-90E7C942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4387</Words>
  <Characters>24132</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dc:creator>
  <cp:keywords/>
  <dc:description/>
  <cp:lastModifiedBy>Zon</cp:lastModifiedBy>
  <cp:revision>19</cp:revision>
  <dcterms:created xsi:type="dcterms:W3CDTF">2022-08-26T12:12:00Z</dcterms:created>
  <dcterms:modified xsi:type="dcterms:W3CDTF">2022-08-27T13:39:00Z</dcterms:modified>
</cp:coreProperties>
</file>