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7E1179" w14:textId="77777777" w:rsidR="003D1745" w:rsidRPr="007D4CA1" w:rsidRDefault="003D1745" w:rsidP="003D1745">
      <w:pPr>
        <w:spacing w:line="240" w:lineRule="auto"/>
        <w:jc w:val="center"/>
        <w:rPr>
          <w:rFonts w:ascii="Cambria" w:hAnsi="Cambria" w:cs="Arial"/>
          <w:bCs/>
          <w:szCs w:val="24"/>
          <w:lang w:val="fr-CA"/>
        </w:rPr>
      </w:pPr>
      <w:r w:rsidRPr="007D4CA1">
        <w:rPr>
          <w:rFonts w:ascii="Cambria" w:hAnsi="Cambria" w:cs="Arial"/>
          <w:noProof/>
          <w:sz w:val="24"/>
          <w:szCs w:val="24"/>
          <w:lang w:val="en-US"/>
        </w:rPr>
        <w:drawing>
          <wp:anchor distT="0" distB="0" distL="114300" distR="114300" simplePos="0" relativeHeight="251659264" behindDoc="0" locked="0" layoutInCell="1" allowOverlap="1" wp14:anchorId="1584CCDB" wp14:editId="22B3BBA3">
            <wp:simplePos x="0" y="0"/>
            <wp:positionH relativeFrom="margin">
              <wp:posOffset>1531447</wp:posOffset>
            </wp:positionH>
            <wp:positionV relativeFrom="paragraph">
              <wp:posOffset>58</wp:posOffset>
            </wp:positionV>
            <wp:extent cx="2417445" cy="1590040"/>
            <wp:effectExtent l="0" t="0" r="1905" b="0"/>
            <wp:wrapThrough wrapText="bothSides">
              <wp:wrapPolygon edited="0">
                <wp:start x="0" y="0"/>
                <wp:lineTo x="0" y="21220"/>
                <wp:lineTo x="21447" y="21220"/>
                <wp:lineTo x="21447" y="0"/>
                <wp:lineTo x="0" y="0"/>
              </wp:wrapPolygon>
            </wp:wrapThrough>
            <wp:docPr id="2" name="Image 2" descr="C:\Users\hp\Desktop\IFRIS 2016-2017\Entête courrier\ENTETE IFRISSE FIX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IFRIS 2016-2017\Entête courrier\ENTETE IFRISSE FIX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17445" cy="1590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710D12" w14:textId="77777777" w:rsidR="003D1745" w:rsidRPr="007D4CA1" w:rsidRDefault="003D1745" w:rsidP="003D1745">
      <w:pPr>
        <w:jc w:val="center"/>
        <w:rPr>
          <w:rFonts w:ascii="Cambria" w:hAnsi="Cambria" w:cs="Arial"/>
          <w:bCs/>
          <w:szCs w:val="24"/>
          <w:lang w:val="fr-CA"/>
        </w:rPr>
      </w:pPr>
    </w:p>
    <w:p w14:paraId="1A0F5BA2" w14:textId="77777777" w:rsidR="003D1745" w:rsidRPr="007D4CA1" w:rsidRDefault="003D1745" w:rsidP="003D1745">
      <w:pPr>
        <w:rPr>
          <w:rFonts w:ascii="Cambria" w:hAnsi="Cambria" w:cs="Arial"/>
          <w:bCs/>
          <w:szCs w:val="24"/>
          <w:lang w:val="fr-CA"/>
        </w:rPr>
      </w:pPr>
    </w:p>
    <w:p w14:paraId="5A3B2580" w14:textId="77777777" w:rsidR="003D1745" w:rsidRPr="007D4CA1" w:rsidRDefault="003D1745" w:rsidP="003D1745">
      <w:pPr>
        <w:rPr>
          <w:rFonts w:ascii="Cambria" w:hAnsi="Cambria" w:cs="Arial"/>
          <w:bCs/>
          <w:szCs w:val="24"/>
          <w:lang w:val="fr-CA"/>
        </w:rPr>
      </w:pPr>
    </w:p>
    <w:p w14:paraId="2A1A7C90" w14:textId="77777777" w:rsidR="003D1745" w:rsidRPr="007D4CA1" w:rsidRDefault="003D1745" w:rsidP="003D1745">
      <w:pPr>
        <w:rPr>
          <w:rFonts w:ascii="Cambria" w:hAnsi="Cambria" w:cs="Arial"/>
          <w:bCs/>
          <w:szCs w:val="24"/>
          <w:lang w:val="fr-CA"/>
        </w:rPr>
      </w:pPr>
    </w:p>
    <w:p w14:paraId="55296AB7" w14:textId="77777777" w:rsidR="003D1745" w:rsidRPr="007D4CA1" w:rsidRDefault="003D1745" w:rsidP="003D1745">
      <w:pPr>
        <w:rPr>
          <w:rFonts w:ascii="Cambria" w:hAnsi="Cambria" w:cs="Arial"/>
          <w:bCs/>
          <w:szCs w:val="24"/>
          <w:lang w:val="fr-CA"/>
        </w:rPr>
      </w:pPr>
    </w:p>
    <w:p w14:paraId="30EFD67B" w14:textId="77777777" w:rsidR="003D1745" w:rsidRPr="007D4CA1" w:rsidRDefault="003D1745" w:rsidP="003D1745">
      <w:pPr>
        <w:jc w:val="center"/>
        <w:rPr>
          <w:rFonts w:ascii="Cambria" w:hAnsi="Cambria" w:cs="Arial"/>
          <w:b/>
          <w:bCs/>
          <w:sz w:val="32"/>
          <w:szCs w:val="32"/>
          <w:lang w:val="fr-CA"/>
        </w:rPr>
      </w:pPr>
    </w:p>
    <w:p w14:paraId="7C040B04" w14:textId="77777777" w:rsidR="003D1745" w:rsidRPr="007D4CA1" w:rsidRDefault="003D1745" w:rsidP="003D1745">
      <w:pPr>
        <w:jc w:val="center"/>
        <w:rPr>
          <w:rFonts w:ascii="Cambria" w:hAnsi="Cambria" w:cs="Arial"/>
          <w:b/>
          <w:bCs/>
          <w:sz w:val="28"/>
          <w:szCs w:val="32"/>
          <w:lang w:val="fr-CA"/>
        </w:rPr>
      </w:pPr>
      <w:r w:rsidRPr="007D4CA1">
        <w:rPr>
          <w:rFonts w:ascii="Cambria" w:hAnsi="Cambria" w:cs="Arial"/>
          <w:b/>
          <w:bCs/>
          <w:sz w:val="28"/>
          <w:szCs w:val="32"/>
          <w:lang w:val="fr-CA"/>
        </w:rPr>
        <w:t xml:space="preserve">MASTER </w:t>
      </w:r>
      <w:r>
        <w:rPr>
          <w:rFonts w:ascii="Cambria" w:hAnsi="Cambria" w:cs="Arial"/>
          <w:b/>
          <w:bCs/>
          <w:sz w:val="28"/>
          <w:szCs w:val="32"/>
          <w:lang w:val="fr-CA"/>
        </w:rPr>
        <w:t xml:space="preserve">EN </w:t>
      </w:r>
      <w:r w:rsidRPr="007D4CA1">
        <w:rPr>
          <w:rFonts w:ascii="Cambria" w:hAnsi="Cambria" w:cs="Arial"/>
          <w:b/>
          <w:bCs/>
          <w:sz w:val="28"/>
          <w:szCs w:val="32"/>
          <w:lang w:val="fr-CA"/>
        </w:rPr>
        <w:t>SCIENCES DE L’EDUCATION</w:t>
      </w:r>
    </w:p>
    <w:p w14:paraId="42278C98" w14:textId="77777777" w:rsidR="003D1745" w:rsidRPr="007D4CA1" w:rsidRDefault="003D1745" w:rsidP="003D1745">
      <w:pPr>
        <w:rPr>
          <w:rFonts w:ascii="Cambria" w:eastAsia="Calibri" w:hAnsi="Cambria" w:cs="Arial"/>
          <w:b/>
          <w:sz w:val="24"/>
          <w:szCs w:val="24"/>
        </w:rPr>
      </w:pPr>
      <w:r w:rsidRPr="007D4CA1">
        <w:rPr>
          <w:rFonts w:ascii="Cambria" w:hAnsi="Cambria" w:cs="Arial"/>
          <w:b/>
          <w:sz w:val="24"/>
          <w:szCs w:val="24"/>
          <w:lang w:val="fr-CA"/>
        </w:rPr>
        <w:t>Titre du module :</w:t>
      </w:r>
      <w:r w:rsidRPr="007D4CA1">
        <w:rPr>
          <w:rFonts w:ascii="Cambria" w:hAnsi="Cambria" w:cs="Arial"/>
          <w:bCs/>
          <w:sz w:val="24"/>
          <w:szCs w:val="24"/>
          <w:lang w:val="fr-CA"/>
        </w:rPr>
        <w:t xml:space="preserve"> </w:t>
      </w:r>
      <w:r w:rsidRPr="007D4CA1">
        <w:rPr>
          <w:rFonts w:ascii="Cambria" w:eastAsia="Calibri" w:hAnsi="Cambria" w:cs="Arial"/>
          <w:bCs/>
          <w:sz w:val="24"/>
          <w:szCs w:val="24"/>
        </w:rPr>
        <w:t xml:space="preserve">Planification budgétaire </w:t>
      </w:r>
      <w:r>
        <w:rPr>
          <w:rFonts w:ascii="Cambria" w:eastAsia="Calibri" w:hAnsi="Cambria" w:cs="Arial"/>
          <w:bCs/>
          <w:sz w:val="24"/>
          <w:szCs w:val="24"/>
        </w:rPr>
        <w:t>et Financement de</w:t>
      </w:r>
      <w:r w:rsidRPr="007D4CA1">
        <w:rPr>
          <w:rFonts w:ascii="Cambria" w:eastAsia="Calibri" w:hAnsi="Cambria" w:cs="Arial"/>
          <w:bCs/>
          <w:sz w:val="24"/>
          <w:szCs w:val="24"/>
        </w:rPr>
        <w:t xml:space="preserve"> </w:t>
      </w:r>
      <w:r>
        <w:rPr>
          <w:rFonts w:ascii="Cambria" w:eastAsia="Calibri" w:hAnsi="Cambria" w:cs="Arial"/>
          <w:bCs/>
          <w:sz w:val="24"/>
          <w:szCs w:val="24"/>
        </w:rPr>
        <w:t>l’</w:t>
      </w:r>
      <w:r w:rsidRPr="007D4CA1">
        <w:rPr>
          <w:rFonts w:ascii="Cambria" w:eastAsia="Calibri" w:hAnsi="Cambria" w:cs="Arial"/>
          <w:bCs/>
          <w:sz w:val="24"/>
          <w:szCs w:val="24"/>
        </w:rPr>
        <w:t>éducation</w:t>
      </w:r>
    </w:p>
    <w:p w14:paraId="02496BAE" w14:textId="2E6FD952" w:rsidR="003D1745" w:rsidRPr="007D4CA1" w:rsidRDefault="003D1745" w:rsidP="003D1745">
      <w:pPr>
        <w:rPr>
          <w:rFonts w:ascii="Cambria" w:hAnsi="Cambria" w:cs="Arial"/>
          <w:bCs/>
          <w:color w:val="000000"/>
          <w:sz w:val="24"/>
          <w:szCs w:val="24"/>
        </w:rPr>
      </w:pPr>
      <w:r w:rsidRPr="007D4CA1">
        <w:rPr>
          <w:rFonts w:ascii="Cambria" w:eastAsia="Calibri" w:hAnsi="Cambria" w:cs="Arial"/>
          <w:b/>
          <w:sz w:val="24"/>
          <w:szCs w:val="24"/>
        </w:rPr>
        <w:t xml:space="preserve">Année scolaire : </w:t>
      </w:r>
      <w:r w:rsidRPr="007D4CA1">
        <w:rPr>
          <w:rFonts w:ascii="Cambria" w:eastAsia="Calibri" w:hAnsi="Cambria" w:cs="Arial"/>
          <w:bCs/>
          <w:sz w:val="24"/>
          <w:szCs w:val="24"/>
        </w:rPr>
        <w:t>20</w:t>
      </w:r>
      <w:r>
        <w:rPr>
          <w:rFonts w:ascii="Cambria" w:eastAsia="Calibri" w:hAnsi="Cambria" w:cs="Arial"/>
          <w:bCs/>
          <w:sz w:val="24"/>
          <w:szCs w:val="24"/>
        </w:rPr>
        <w:t>21</w:t>
      </w:r>
      <w:bookmarkStart w:id="0" w:name="_GoBack"/>
      <w:bookmarkEnd w:id="0"/>
      <w:r>
        <w:rPr>
          <w:rFonts w:ascii="Cambria" w:eastAsia="Calibri" w:hAnsi="Cambria" w:cs="Arial"/>
          <w:bCs/>
          <w:sz w:val="24"/>
          <w:szCs w:val="24"/>
        </w:rPr>
        <w:t>-</w:t>
      </w:r>
      <w:r w:rsidRPr="007D4CA1">
        <w:rPr>
          <w:rFonts w:ascii="Cambria" w:eastAsia="Calibri" w:hAnsi="Cambria" w:cs="Arial"/>
          <w:bCs/>
          <w:sz w:val="24"/>
          <w:szCs w:val="24"/>
        </w:rPr>
        <w:t>202</w:t>
      </w:r>
      <w:r>
        <w:rPr>
          <w:rFonts w:ascii="Cambria" w:eastAsia="Calibri" w:hAnsi="Cambria" w:cs="Arial"/>
          <w:bCs/>
          <w:sz w:val="24"/>
          <w:szCs w:val="24"/>
        </w:rPr>
        <w:t>2</w:t>
      </w:r>
    </w:p>
    <w:p w14:paraId="55B49820" w14:textId="77777777" w:rsidR="003D1745" w:rsidRDefault="003D1745" w:rsidP="003D1745">
      <w:pPr>
        <w:autoSpaceDE w:val="0"/>
        <w:autoSpaceDN w:val="0"/>
        <w:adjustRightInd w:val="0"/>
        <w:rPr>
          <w:rFonts w:ascii="Cambria" w:hAnsi="Cambria" w:cs="Arial"/>
          <w:b/>
          <w:bCs/>
          <w:sz w:val="24"/>
          <w:szCs w:val="24"/>
          <w:lang w:val="fr-CA"/>
        </w:rPr>
      </w:pPr>
      <w:r w:rsidRPr="00D54982">
        <w:rPr>
          <w:rFonts w:ascii="Cambria" w:hAnsi="Cambria" w:cs="Arial"/>
          <w:b/>
          <w:sz w:val="24"/>
          <w:szCs w:val="24"/>
          <w:u w:val="single"/>
          <w:lang w:val="fr-CA"/>
        </w:rPr>
        <w:t>Chargé de cours principal</w:t>
      </w:r>
      <w:r w:rsidRPr="007D4CA1">
        <w:rPr>
          <w:rFonts w:ascii="Cambria" w:hAnsi="Cambria" w:cs="Arial"/>
          <w:bCs/>
          <w:sz w:val="24"/>
          <w:szCs w:val="24"/>
          <w:lang w:val="fr-CA"/>
        </w:rPr>
        <w:t xml:space="preserve"> : </w:t>
      </w:r>
      <w:r w:rsidRPr="007D4CA1">
        <w:rPr>
          <w:rFonts w:ascii="Cambria" w:hAnsi="Cambria" w:cs="Arial"/>
          <w:sz w:val="24"/>
          <w:szCs w:val="24"/>
          <w:lang w:val="fr-CA"/>
        </w:rPr>
        <w:t>Mr BAGRE W. Olivier</w:t>
      </w:r>
      <w:r w:rsidRPr="007D4CA1">
        <w:rPr>
          <w:rFonts w:ascii="Cambria" w:hAnsi="Cambria" w:cs="Arial"/>
          <w:b/>
          <w:bCs/>
          <w:sz w:val="24"/>
          <w:szCs w:val="24"/>
          <w:lang w:val="fr-CA"/>
        </w:rPr>
        <w:t xml:space="preserve"> </w:t>
      </w:r>
    </w:p>
    <w:p w14:paraId="412BDA84" w14:textId="77777777" w:rsidR="003D1745" w:rsidRDefault="003D1745" w:rsidP="003D1745">
      <w:pPr>
        <w:pBdr>
          <w:bottom w:val="single" w:sz="4" w:space="1" w:color="auto"/>
        </w:pBdr>
        <w:autoSpaceDE w:val="0"/>
        <w:autoSpaceDN w:val="0"/>
        <w:adjustRightInd w:val="0"/>
        <w:spacing w:after="0" w:line="240" w:lineRule="auto"/>
        <w:rPr>
          <w:rFonts w:ascii="Times New Roman" w:hAnsi="Times New Roman" w:cs="Times New Roman"/>
          <w:b/>
          <w:bCs/>
          <w:sz w:val="28"/>
          <w:szCs w:val="28"/>
        </w:rPr>
      </w:pPr>
      <w:r w:rsidRPr="00D54982">
        <w:rPr>
          <w:rFonts w:ascii="Cambria" w:hAnsi="Cambria" w:cs="Arial"/>
          <w:b/>
          <w:bCs/>
          <w:sz w:val="24"/>
          <w:szCs w:val="24"/>
          <w:u w:val="single"/>
          <w:lang w:val="fr-CA"/>
        </w:rPr>
        <w:t>Collaborateur</w:t>
      </w:r>
      <w:r>
        <w:rPr>
          <w:rFonts w:ascii="Cambria" w:hAnsi="Cambria" w:cs="Arial"/>
          <w:b/>
          <w:bCs/>
          <w:sz w:val="24"/>
          <w:szCs w:val="24"/>
          <w:lang w:val="fr-CA"/>
        </w:rPr>
        <w:t xml:space="preserve"> : </w:t>
      </w:r>
      <w:r w:rsidRPr="00D54982">
        <w:rPr>
          <w:rFonts w:ascii="Cambria" w:hAnsi="Cambria" w:cs="Arial"/>
          <w:sz w:val="24"/>
          <w:szCs w:val="24"/>
          <w:lang w:val="fr-CA"/>
        </w:rPr>
        <w:t>SOMDA Kpèonbar</w:t>
      </w:r>
      <w:r w:rsidRPr="00060A0D">
        <w:rPr>
          <w:rFonts w:ascii="Times New Roman" w:hAnsi="Times New Roman" w:cs="Times New Roman"/>
          <w:b/>
          <w:bCs/>
          <w:sz w:val="28"/>
          <w:szCs w:val="28"/>
        </w:rPr>
        <w:t xml:space="preserve"> </w:t>
      </w:r>
    </w:p>
    <w:p w14:paraId="52213A2D" w14:textId="77777777" w:rsidR="003D1745" w:rsidRDefault="003D1745" w:rsidP="003D1745">
      <w:pPr>
        <w:pBdr>
          <w:bottom w:val="single" w:sz="4" w:space="1" w:color="auto"/>
        </w:pBdr>
        <w:autoSpaceDE w:val="0"/>
        <w:autoSpaceDN w:val="0"/>
        <w:adjustRightInd w:val="0"/>
        <w:spacing w:after="0" w:line="240" w:lineRule="auto"/>
        <w:jc w:val="center"/>
        <w:rPr>
          <w:rFonts w:ascii="Times New Roman" w:hAnsi="Times New Roman" w:cs="Times New Roman"/>
          <w:b/>
          <w:bCs/>
          <w:sz w:val="28"/>
          <w:szCs w:val="28"/>
        </w:rPr>
      </w:pPr>
    </w:p>
    <w:p w14:paraId="3AA930A4" w14:textId="77777777" w:rsidR="003D1745" w:rsidRDefault="003D1745" w:rsidP="003D1745">
      <w:pPr>
        <w:pBdr>
          <w:bottom w:val="single" w:sz="4" w:space="1" w:color="auto"/>
        </w:pBdr>
        <w:autoSpaceDE w:val="0"/>
        <w:autoSpaceDN w:val="0"/>
        <w:adjustRightInd w:val="0"/>
        <w:spacing w:after="0" w:line="240" w:lineRule="auto"/>
        <w:jc w:val="center"/>
        <w:rPr>
          <w:rFonts w:ascii="Times New Roman" w:hAnsi="Times New Roman" w:cs="Times New Roman"/>
          <w:b/>
          <w:bCs/>
          <w:sz w:val="28"/>
          <w:szCs w:val="28"/>
        </w:rPr>
      </w:pPr>
    </w:p>
    <w:p w14:paraId="5C4E6B95" w14:textId="570374EB" w:rsidR="001611D7" w:rsidRPr="00060A0D" w:rsidRDefault="001611D7" w:rsidP="003D1745">
      <w:pPr>
        <w:pBdr>
          <w:bottom w:val="single" w:sz="4" w:space="1" w:color="auto"/>
        </w:pBdr>
        <w:autoSpaceDE w:val="0"/>
        <w:autoSpaceDN w:val="0"/>
        <w:adjustRightInd w:val="0"/>
        <w:spacing w:after="0" w:line="240" w:lineRule="auto"/>
        <w:jc w:val="center"/>
        <w:rPr>
          <w:rFonts w:ascii="Times New Roman" w:hAnsi="Times New Roman" w:cs="Times New Roman"/>
          <w:b/>
          <w:bCs/>
          <w:sz w:val="28"/>
          <w:szCs w:val="28"/>
        </w:rPr>
      </w:pPr>
      <w:r w:rsidRPr="00060A0D">
        <w:rPr>
          <w:rFonts w:ascii="Times New Roman" w:hAnsi="Times New Roman" w:cs="Times New Roman"/>
          <w:b/>
          <w:bCs/>
          <w:sz w:val="28"/>
          <w:szCs w:val="28"/>
        </w:rPr>
        <w:t>Financement de l’éducation</w:t>
      </w:r>
    </w:p>
    <w:p w14:paraId="34CA53BA" w14:textId="77777777" w:rsidR="003767F4" w:rsidRDefault="003767F4" w:rsidP="001611D7">
      <w:pPr>
        <w:autoSpaceDE w:val="0"/>
        <w:autoSpaceDN w:val="0"/>
        <w:adjustRightInd w:val="0"/>
        <w:spacing w:after="0" w:line="240" w:lineRule="auto"/>
        <w:jc w:val="both"/>
        <w:rPr>
          <w:rFonts w:ascii="Times New Roman" w:hAnsi="Times New Roman" w:cs="Times New Roman"/>
          <w:sz w:val="28"/>
          <w:szCs w:val="28"/>
        </w:rPr>
      </w:pPr>
    </w:p>
    <w:p w14:paraId="676B6765" w14:textId="77777777" w:rsidR="001611D7" w:rsidRDefault="001611D7" w:rsidP="001611D7">
      <w:pPr>
        <w:autoSpaceDE w:val="0"/>
        <w:autoSpaceDN w:val="0"/>
        <w:adjustRightInd w:val="0"/>
        <w:spacing w:after="0" w:line="240" w:lineRule="auto"/>
        <w:jc w:val="both"/>
        <w:rPr>
          <w:rFonts w:ascii="Times New Roman" w:hAnsi="Times New Roman" w:cs="Times New Roman"/>
          <w:sz w:val="28"/>
          <w:szCs w:val="28"/>
        </w:rPr>
      </w:pPr>
    </w:p>
    <w:p w14:paraId="1E24F0AA" w14:textId="50FAC8CE" w:rsidR="00EC2BA8" w:rsidRPr="00060A0D" w:rsidRDefault="001611D7" w:rsidP="001611D7">
      <w:pPr>
        <w:autoSpaceDE w:val="0"/>
        <w:autoSpaceDN w:val="0"/>
        <w:adjustRightInd w:val="0"/>
        <w:spacing w:after="0" w:line="240" w:lineRule="auto"/>
        <w:jc w:val="both"/>
        <w:rPr>
          <w:rFonts w:ascii="Times New Roman" w:hAnsi="Times New Roman" w:cs="Times New Roman"/>
          <w:b/>
          <w:bCs/>
          <w:sz w:val="28"/>
          <w:szCs w:val="28"/>
        </w:rPr>
      </w:pPr>
      <w:r w:rsidRPr="00060A0D">
        <w:rPr>
          <w:rFonts w:ascii="Times New Roman" w:hAnsi="Times New Roman" w:cs="Times New Roman"/>
          <w:b/>
          <w:bCs/>
          <w:sz w:val="28"/>
          <w:szCs w:val="28"/>
        </w:rPr>
        <w:t>Travaux pratiques</w:t>
      </w:r>
    </w:p>
    <w:p w14:paraId="3FF6768E" w14:textId="6D2EF8C1" w:rsidR="003767F4" w:rsidRDefault="003767F4" w:rsidP="001611D7">
      <w:pPr>
        <w:autoSpaceDE w:val="0"/>
        <w:autoSpaceDN w:val="0"/>
        <w:adjustRightInd w:val="0"/>
        <w:spacing w:after="0" w:line="240" w:lineRule="auto"/>
        <w:jc w:val="both"/>
        <w:rPr>
          <w:rFonts w:ascii="Times New Roman" w:hAnsi="Times New Roman" w:cs="Times New Roman"/>
          <w:sz w:val="28"/>
          <w:szCs w:val="28"/>
        </w:rPr>
      </w:pPr>
    </w:p>
    <w:p w14:paraId="7B5F4638" w14:textId="77777777" w:rsidR="001611D7" w:rsidRPr="001611D7" w:rsidRDefault="001611D7" w:rsidP="003767F4">
      <w:pPr>
        <w:autoSpaceDE w:val="0"/>
        <w:autoSpaceDN w:val="0"/>
        <w:adjustRightInd w:val="0"/>
        <w:spacing w:after="0" w:line="240" w:lineRule="auto"/>
        <w:rPr>
          <w:rFonts w:ascii="Times New Roman" w:hAnsi="Times New Roman" w:cs="Times New Roman"/>
          <w:sz w:val="28"/>
          <w:szCs w:val="28"/>
        </w:rPr>
      </w:pPr>
    </w:p>
    <w:p w14:paraId="4F4B2EF7" w14:textId="1639D9BE" w:rsidR="003767F4" w:rsidRPr="003767F4" w:rsidRDefault="003767F4" w:rsidP="00013AB9">
      <w:pPr>
        <w:autoSpaceDE w:val="0"/>
        <w:autoSpaceDN w:val="0"/>
        <w:adjustRightInd w:val="0"/>
        <w:spacing w:after="0" w:line="240" w:lineRule="auto"/>
        <w:jc w:val="both"/>
        <w:rPr>
          <w:rFonts w:ascii="Times New Roman" w:hAnsi="Times New Roman" w:cs="Times New Roman"/>
          <w:b/>
          <w:bCs/>
          <w:sz w:val="28"/>
          <w:szCs w:val="28"/>
        </w:rPr>
      </w:pPr>
      <w:r w:rsidRPr="003767F4">
        <w:rPr>
          <w:rFonts w:ascii="Times New Roman" w:hAnsi="Times New Roman" w:cs="Times New Roman"/>
          <w:b/>
          <w:bCs/>
          <w:sz w:val="28"/>
          <w:szCs w:val="28"/>
        </w:rPr>
        <w:t xml:space="preserve">TAF </w:t>
      </w:r>
      <w:r>
        <w:rPr>
          <w:rFonts w:ascii="Times New Roman" w:hAnsi="Times New Roman" w:cs="Times New Roman"/>
          <w:b/>
          <w:bCs/>
          <w:sz w:val="28"/>
          <w:szCs w:val="28"/>
        </w:rPr>
        <w:t>1</w:t>
      </w:r>
      <w:r w:rsidRPr="003767F4">
        <w:rPr>
          <w:rFonts w:ascii="Times New Roman" w:hAnsi="Times New Roman" w:cs="Times New Roman"/>
          <w:b/>
          <w:bCs/>
          <w:sz w:val="28"/>
          <w:szCs w:val="28"/>
        </w:rPr>
        <w:t> :</w:t>
      </w:r>
    </w:p>
    <w:p w14:paraId="270B67D8" w14:textId="1618C506" w:rsidR="00EC2BA8" w:rsidRDefault="00EC2BA8" w:rsidP="00013AB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Le produit intérieur brut (PIB) est le principal agrégat mesurant l'activité</w:t>
      </w:r>
      <w:r w:rsidR="00013AB9">
        <w:rPr>
          <w:rFonts w:ascii="Times New Roman" w:hAnsi="Times New Roman" w:cs="Times New Roman"/>
          <w:sz w:val="28"/>
          <w:szCs w:val="28"/>
        </w:rPr>
        <w:t xml:space="preserve"> </w:t>
      </w:r>
      <w:r>
        <w:rPr>
          <w:rFonts w:ascii="Times New Roman" w:hAnsi="Times New Roman" w:cs="Times New Roman"/>
          <w:sz w:val="28"/>
          <w:szCs w:val="28"/>
        </w:rPr>
        <w:t>économique. Il correspond à la somme des valeurs ajoutées nouvellement créées par les unités productrices résidentes une année donnée, évaluées au prix du marché. Il donne une mesure des richesses nouvelles créées chaque année par le système productif et permet des comparaisons internationales. Le produit intérieur brut est publié à prix courants et en volume aux prix de l'année précédente chaînés. Son évolution en volume (c'est-à-dire hors effet de prix) mesure la croissance</w:t>
      </w:r>
      <w:r w:rsidR="00013AB9">
        <w:rPr>
          <w:rFonts w:ascii="Times New Roman" w:hAnsi="Times New Roman" w:cs="Times New Roman"/>
          <w:sz w:val="28"/>
          <w:szCs w:val="28"/>
        </w:rPr>
        <w:t xml:space="preserve"> </w:t>
      </w:r>
      <w:r>
        <w:rPr>
          <w:rFonts w:ascii="Times New Roman" w:hAnsi="Times New Roman" w:cs="Times New Roman"/>
          <w:sz w:val="28"/>
          <w:szCs w:val="28"/>
        </w:rPr>
        <w:t>économique.</w:t>
      </w:r>
    </w:p>
    <w:p w14:paraId="58351C85" w14:textId="27B5878D" w:rsidR="00EC2BA8" w:rsidRDefault="00EC2BA8" w:rsidP="00EC2BA8">
      <w:pPr>
        <w:jc w:val="both"/>
        <w:rPr>
          <w:rFonts w:ascii="Times New Roman" w:hAnsi="Times New Roman" w:cs="Times New Roman"/>
          <w:sz w:val="28"/>
          <w:szCs w:val="28"/>
        </w:rPr>
      </w:pPr>
      <w:r>
        <w:rPr>
          <w:rFonts w:ascii="Times New Roman" w:hAnsi="Times New Roman" w:cs="Times New Roman"/>
          <w:sz w:val="28"/>
          <w:szCs w:val="28"/>
        </w:rPr>
        <w:t>Un indicateur souvent utilisé en économie de l’éducation est le « ratio dépenses publiques d’éducations/ PIB » (exprimé en %).</w:t>
      </w:r>
    </w:p>
    <w:p w14:paraId="75159DEC" w14:textId="34A2D205" w:rsidR="00EC2BA8" w:rsidRDefault="00EC2BA8" w:rsidP="00EC2BA8">
      <w:pPr>
        <w:jc w:val="both"/>
        <w:rPr>
          <w:rFonts w:ascii="Times New Roman" w:hAnsi="Times New Roman" w:cs="Times New Roman"/>
          <w:sz w:val="28"/>
          <w:szCs w:val="28"/>
        </w:rPr>
      </w:pPr>
      <w:r>
        <w:rPr>
          <w:rFonts w:ascii="Times New Roman" w:hAnsi="Times New Roman" w:cs="Times New Roman"/>
          <w:sz w:val="28"/>
          <w:szCs w:val="28"/>
        </w:rPr>
        <w:t>A votre avis, que mesure cet indicateur ?</w:t>
      </w:r>
    </w:p>
    <w:p w14:paraId="6266CB3B" w14:textId="04010FC1" w:rsidR="00EC2BA8" w:rsidRDefault="00EC2BA8" w:rsidP="00EC2BA8">
      <w:pPr>
        <w:jc w:val="both"/>
        <w:rPr>
          <w:rFonts w:ascii="Times New Roman" w:hAnsi="Times New Roman" w:cs="Times New Roman"/>
          <w:sz w:val="28"/>
          <w:szCs w:val="28"/>
        </w:rPr>
      </w:pPr>
      <w:r>
        <w:rPr>
          <w:rFonts w:ascii="Times New Roman" w:hAnsi="Times New Roman" w:cs="Times New Roman"/>
          <w:sz w:val="28"/>
          <w:szCs w:val="28"/>
        </w:rPr>
        <w:t xml:space="preserve">Le tableau suivant présente les données sur le ratio dépenses publiques d’éducations/ PIB d’un certain nombre de pays </w:t>
      </w:r>
      <w:r w:rsidR="00AA7785">
        <w:rPr>
          <w:rFonts w:ascii="Times New Roman" w:hAnsi="Times New Roman" w:cs="Times New Roman"/>
          <w:sz w:val="28"/>
          <w:szCs w:val="28"/>
        </w:rPr>
        <w:t xml:space="preserve">et de région </w:t>
      </w:r>
      <w:r>
        <w:rPr>
          <w:rFonts w:ascii="Times New Roman" w:hAnsi="Times New Roman" w:cs="Times New Roman"/>
          <w:sz w:val="28"/>
          <w:szCs w:val="28"/>
        </w:rPr>
        <w:t xml:space="preserve">sur </w:t>
      </w:r>
      <w:r w:rsidR="00AA7785">
        <w:rPr>
          <w:rFonts w:ascii="Times New Roman" w:hAnsi="Times New Roman" w:cs="Times New Roman"/>
          <w:sz w:val="28"/>
          <w:szCs w:val="28"/>
        </w:rPr>
        <w:t>les 05 dernières années de disponibilité des données</w:t>
      </w:r>
      <w:r w:rsidR="00A23198">
        <w:rPr>
          <w:rFonts w:ascii="Times New Roman" w:hAnsi="Times New Roman" w:cs="Times New Roman"/>
          <w:sz w:val="28"/>
          <w:szCs w:val="28"/>
        </w:rPr>
        <w:t xml:space="preserve">. </w:t>
      </w:r>
      <w:r w:rsidR="00A23198" w:rsidRPr="00A064ED">
        <w:rPr>
          <w:rFonts w:ascii="Times New Roman" w:hAnsi="Times New Roman" w:cs="Times New Roman"/>
          <w:b/>
          <w:bCs/>
          <w:sz w:val="28"/>
          <w:szCs w:val="28"/>
        </w:rPr>
        <w:t>(Source, I</w:t>
      </w:r>
      <w:r w:rsidR="00A064ED" w:rsidRPr="00A064ED">
        <w:rPr>
          <w:rFonts w:ascii="Times New Roman" w:hAnsi="Times New Roman" w:cs="Times New Roman"/>
          <w:b/>
          <w:bCs/>
          <w:sz w:val="28"/>
          <w:szCs w:val="28"/>
        </w:rPr>
        <w:t>nstitut des statistiques de l’UNESCO, http://uis.unesco.org/fr</w:t>
      </w:r>
      <w:r w:rsidR="00A23198" w:rsidRPr="00A064ED">
        <w:rPr>
          <w:rFonts w:ascii="Times New Roman" w:hAnsi="Times New Roman" w:cs="Times New Roman"/>
          <w:b/>
          <w:bCs/>
          <w:sz w:val="28"/>
          <w:szCs w:val="28"/>
        </w:rPr>
        <w:t>)</w:t>
      </w:r>
      <w:r w:rsidR="00A23198">
        <w:rPr>
          <w:rFonts w:ascii="Times New Roman" w:hAnsi="Times New Roman" w:cs="Times New Roman"/>
          <w:sz w:val="28"/>
          <w:szCs w:val="28"/>
        </w:rPr>
        <w:t>.</w:t>
      </w:r>
    </w:p>
    <w:p w14:paraId="0F653A8E" w14:textId="5E790E28" w:rsidR="00013AB9" w:rsidRDefault="00013AB9" w:rsidP="00EC2BA8">
      <w:pPr>
        <w:jc w:val="both"/>
        <w:rPr>
          <w:rFonts w:ascii="Times New Roman" w:hAnsi="Times New Roman" w:cs="Times New Roman"/>
          <w:sz w:val="28"/>
          <w:szCs w:val="28"/>
        </w:rPr>
      </w:pPr>
      <w:r>
        <w:rPr>
          <w:rFonts w:ascii="Times New Roman" w:hAnsi="Times New Roman" w:cs="Times New Roman"/>
          <w:sz w:val="28"/>
          <w:szCs w:val="28"/>
        </w:rPr>
        <w:lastRenderedPageBreak/>
        <w:t>Evolution du ratio dépenses publiques d’éducations/ PIB (en %) de 2015 à 2019 dans certains pays et régions du monde</w:t>
      </w:r>
    </w:p>
    <w:tbl>
      <w:tblPr>
        <w:tblStyle w:val="TableauGrille2-Accentuation1"/>
        <w:tblW w:w="5000" w:type="pct"/>
        <w:tblLook w:val="04A0" w:firstRow="1" w:lastRow="0" w:firstColumn="1" w:lastColumn="0" w:noHBand="0" w:noVBand="1"/>
      </w:tblPr>
      <w:tblGrid>
        <w:gridCol w:w="3341"/>
        <w:gridCol w:w="1147"/>
        <w:gridCol w:w="1147"/>
        <w:gridCol w:w="1147"/>
        <w:gridCol w:w="1147"/>
        <w:gridCol w:w="1143"/>
      </w:tblGrid>
      <w:tr w:rsidR="001611D7" w:rsidRPr="001611D7" w14:paraId="4CDD11D8" w14:textId="77777777" w:rsidTr="008C7A44">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842" w:type="pct"/>
            <w:noWrap/>
            <w:hideMark/>
          </w:tcPr>
          <w:p w14:paraId="5A09043C" w14:textId="77777777" w:rsidR="00AA7785" w:rsidRPr="001611D7" w:rsidRDefault="00AA7785" w:rsidP="00AA7785">
            <w:pPr>
              <w:contextualSpacing/>
              <w:jc w:val="both"/>
              <w:rPr>
                <w:rFonts w:ascii="Times New Roman" w:hAnsi="Times New Roman" w:cs="Times New Roman"/>
                <w:sz w:val="24"/>
                <w:szCs w:val="24"/>
              </w:rPr>
            </w:pPr>
            <w:r w:rsidRPr="001611D7">
              <w:rPr>
                <w:rFonts w:ascii="Times New Roman" w:hAnsi="Times New Roman" w:cs="Times New Roman"/>
                <w:sz w:val="24"/>
                <w:szCs w:val="24"/>
              </w:rPr>
              <w:t>Country Name</w:t>
            </w:r>
          </w:p>
        </w:tc>
        <w:tc>
          <w:tcPr>
            <w:tcW w:w="632" w:type="pct"/>
            <w:noWrap/>
            <w:hideMark/>
          </w:tcPr>
          <w:p w14:paraId="26F44AE3" w14:textId="77777777" w:rsidR="00AA7785" w:rsidRPr="001611D7" w:rsidRDefault="00AA7785" w:rsidP="00AA7785">
            <w:pPr>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611D7">
              <w:rPr>
                <w:rFonts w:ascii="Times New Roman" w:hAnsi="Times New Roman" w:cs="Times New Roman"/>
                <w:sz w:val="24"/>
                <w:szCs w:val="24"/>
              </w:rPr>
              <w:t>2015</w:t>
            </w:r>
          </w:p>
        </w:tc>
        <w:tc>
          <w:tcPr>
            <w:tcW w:w="632" w:type="pct"/>
            <w:noWrap/>
            <w:hideMark/>
          </w:tcPr>
          <w:p w14:paraId="04E9BF2F" w14:textId="77777777" w:rsidR="00AA7785" w:rsidRPr="001611D7" w:rsidRDefault="00AA7785" w:rsidP="00AA7785">
            <w:pPr>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611D7">
              <w:rPr>
                <w:rFonts w:ascii="Times New Roman" w:hAnsi="Times New Roman" w:cs="Times New Roman"/>
                <w:sz w:val="24"/>
                <w:szCs w:val="24"/>
              </w:rPr>
              <w:t>2016</w:t>
            </w:r>
          </w:p>
        </w:tc>
        <w:tc>
          <w:tcPr>
            <w:tcW w:w="632" w:type="pct"/>
            <w:noWrap/>
            <w:hideMark/>
          </w:tcPr>
          <w:p w14:paraId="165823F3" w14:textId="77777777" w:rsidR="00AA7785" w:rsidRPr="001611D7" w:rsidRDefault="00AA7785" w:rsidP="00AA7785">
            <w:pPr>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611D7">
              <w:rPr>
                <w:rFonts w:ascii="Times New Roman" w:hAnsi="Times New Roman" w:cs="Times New Roman"/>
                <w:sz w:val="24"/>
                <w:szCs w:val="24"/>
              </w:rPr>
              <w:t>2017</w:t>
            </w:r>
          </w:p>
        </w:tc>
        <w:tc>
          <w:tcPr>
            <w:tcW w:w="632" w:type="pct"/>
            <w:noWrap/>
            <w:hideMark/>
          </w:tcPr>
          <w:p w14:paraId="4E67EBC1" w14:textId="77777777" w:rsidR="00AA7785" w:rsidRPr="001611D7" w:rsidRDefault="00AA7785" w:rsidP="00AA7785">
            <w:pPr>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611D7">
              <w:rPr>
                <w:rFonts w:ascii="Times New Roman" w:hAnsi="Times New Roman" w:cs="Times New Roman"/>
                <w:sz w:val="24"/>
                <w:szCs w:val="24"/>
              </w:rPr>
              <w:t>2018</w:t>
            </w:r>
          </w:p>
        </w:tc>
        <w:tc>
          <w:tcPr>
            <w:tcW w:w="630" w:type="pct"/>
            <w:noWrap/>
            <w:hideMark/>
          </w:tcPr>
          <w:p w14:paraId="03CC3A16" w14:textId="77777777" w:rsidR="00AA7785" w:rsidRPr="001611D7" w:rsidRDefault="00AA7785" w:rsidP="00AA7785">
            <w:pPr>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611D7">
              <w:rPr>
                <w:rFonts w:ascii="Times New Roman" w:hAnsi="Times New Roman" w:cs="Times New Roman"/>
                <w:sz w:val="24"/>
                <w:szCs w:val="24"/>
              </w:rPr>
              <w:t>2019</w:t>
            </w:r>
          </w:p>
        </w:tc>
      </w:tr>
      <w:tr w:rsidR="001611D7" w:rsidRPr="001611D7" w14:paraId="4F115511" w14:textId="77777777" w:rsidTr="008C7A44">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842" w:type="pct"/>
            <w:noWrap/>
            <w:hideMark/>
          </w:tcPr>
          <w:p w14:paraId="5802599E" w14:textId="77777777" w:rsidR="00AA7785" w:rsidRPr="001611D7" w:rsidRDefault="00AA7785" w:rsidP="00AA7785">
            <w:pPr>
              <w:contextualSpacing/>
              <w:jc w:val="both"/>
              <w:rPr>
                <w:rFonts w:ascii="Times New Roman" w:hAnsi="Times New Roman" w:cs="Times New Roman"/>
                <w:sz w:val="24"/>
                <w:szCs w:val="24"/>
              </w:rPr>
            </w:pPr>
            <w:r w:rsidRPr="001611D7">
              <w:rPr>
                <w:rFonts w:ascii="Times New Roman" w:hAnsi="Times New Roman" w:cs="Times New Roman"/>
                <w:sz w:val="24"/>
                <w:szCs w:val="24"/>
              </w:rPr>
              <w:t>Burundi</w:t>
            </w:r>
          </w:p>
        </w:tc>
        <w:tc>
          <w:tcPr>
            <w:tcW w:w="632" w:type="pct"/>
            <w:noWrap/>
            <w:hideMark/>
          </w:tcPr>
          <w:p w14:paraId="6D34ED8B" w14:textId="748F2D82" w:rsidR="00AA7785" w:rsidRPr="001611D7" w:rsidRDefault="00AA7785" w:rsidP="00AA778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611D7">
              <w:rPr>
                <w:rFonts w:ascii="Times New Roman" w:hAnsi="Times New Roman" w:cs="Times New Roman"/>
                <w:sz w:val="24"/>
                <w:szCs w:val="24"/>
              </w:rPr>
              <w:t xml:space="preserve">6,371 </w:t>
            </w:r>
          </w:p>
        </w:tc>
        <w:tc>
          <w:tcPr>
            <w:tcW w:w="632" w:type="pct"/>
            <w:noWrap/>
            <w:hideMark/>
          </w:tcPr>
          <w:p w14:paraId="2289E3F6" w14:textId="33D1CA2A" w:rsidR="00AA7785" w:rsidRPr="001611D7" w:rsidRDefault="00AA7785" w:rsidP="00AA778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611D7">
              <w:rPr>
                <w:rFonts w:ascii="Times New Roman" w:hAnsi="Times New Roman" w:cs="Times New Roman"/>
                <w:sz w:val="24"/>
                <w:szCs w:val="24"/>
              </w:rPr>
              <w:t xml:space="preserve">4,692 </w:t>
            </w:r>
          </w:p>
        </w:tc>
        <w:tc>
          <w:tcPr>
            <w:tcW w:w="632" w:type="pct"/>
            <w:noWrap/>
            <w:hideMark/>
          </w:tcPr>
          <w:p w14:paraId="1EFB0E97" w14:textId="12458381" w:rsidR="00AA7785" w:rsidRPr="001611D7" w:rsidRDefault="00AA7785" w:rsidP="00AA778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611D7">
              <w:rPr>
                <w:rFonts w:ascii="Times New Roman" w:hAnsi="Times New Roman" w:cs="Times New Roman"/>
                <w:sz w:val="24"/>
                <w:szCs w:val="24"/>
              </w:rPr>
              <w:t xml:space="preserve">4,762 </w:t>
            </w:r>
          </w:p>
        </w:tc>
        <w:tc>
          <w:tcPr>
            <w:tcW w:w="632" w:type="pct"/>
            <w:noWrap/>
            <w:hideMark/>
          </w:tcPr>
          <w:p w14:paraId="206B6F81" w14:textId="1E9C39C1" w:rsidR="00AA7785" w:rsidRPr="001611D7" w:rsidRDefault="00AA7785" w:rsidP="00AA778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611D7">
              <w:rPr>
                <w:rFonts w:ascii="Times New Roman" w:hAnsi="Times New Roman" w:cs="Times New Roman"/>
                <w:sz w:val="24"/>
                <w:szCs w:val="24"/>
              </w:rPr>
              <w:t xml:space="preserve">5,079 </w:t>
            </w:r>
          </w:p>
        </w:tc>
        <w:tc>
          <w:tcPr>
            <w:tcW w:w="630" w:type="pct"/>
            <w:noWrap/>
            <w:hideMark/>
          </w:tcPr>
          <w:p w14:paraId="54A167A0" w14:textId="77777777" w:rsidR="00AA7785" w:rsidRPr="001611D7" w:rsidRDefault="00AA7785" w:rsidP="00AA778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1611D7" w:rsidRPr="001611D7" w14:paraId="3258D4FC" w14:textId="77777777" w:rsidTr="008C7A44">
        <w:trPr>
          <w:trHeight w:val="227"/>
        </w:trPr>
        <w:tc>
          <w:tcPr>
            <w:cnfStyle w:val="001000000000" w:firstRow="0" w:lastRow="0" w:firstColumn="1" w:lastColumn="0" w:oddVBand="0" w:evenVBand="0" w:oddHBand="0" w:evenHBand="0" w:firstRowFirstColumn="0" w:firstRowLastColumn="0" w:lastRowFirstColumn="0" w:lastRowLastColumn="0"/>
            <w:tcW w:w="1842" w:type="pct"/>
            <w:noWrap/>
            <w:hideMark/>
          </w:tcPr>
          <w:p w14:paraId="66F95540" w14:textId="77777777" w:rsidR="00AA7785" w:rsidRPr="001611D7" w:rsidRDefault="00AA7785" w:rsidP="00AA7785">
            <w:pPr>
              <w:contextualSpacing/>
              <w:jc w:val="both"/>
              <w:rPr>
                <w:rFonts w:ascii="Times New Roman" w:hAnsi="Times New Roman" w:cs="Times New Roman"/>
                <w:sz w:val="24"/>
                <w:szCs w:val="24"/>
              </w:rPr>
            </w:pPr>
            <w:r w:rsidRPr="001611D7">
              <w:rPr>
                <w:rFonts w:ascii="Times New Roman" w:hAnsi="Times New Roman" w:cs="Times New Roman"/>
                <w:sz w:val="24"/>
                <w:szCs w:val="24"/>
              </w:rPr>
              <w:t>Bénin</w:t>
            </w:r>
          </w:p>
        </w:tc>
        <w:tc>
          <w:tcPr>
            <w:tcW w:w="632" w:type="pct"/>
            <w:noWrap/>
            <w:hideMark/>
          </w:tcPr>
          <w:p w14:paraId="06485D8F" w14:textId="6A605D5A" w:rsidR="00AA7785" w:rsidRPr="001611D7" w:rsidRDefault="00AA7785" w:rsidP="00AA778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611D7">
              <w:rPr>
                <w:rFonts w:ascii="Times New Roman" w:hAnsi="Times New Roman" w:cs="Times New Roman"/>
                <w:sz w:val="24"/>
                <w:szCs w:val="24"/>
              </w:rPr>
              <w:t xml:space="preserve">3,173 </w:t>
            </w:r>
          </w:p>
        </w:tc>
        <w:tc>
          <w:tcPr>
            <w:tcW w:w="632" w:type="pct"/>
            <w:noWrap/>
            <w:hideMark/>
          </w:tcPr>
          <w:p w14:paraId="2139DA3E" w14:textId="6FC1D7A3" w:rsidR="00AA7785" w:rsidRPr="001611D7" w:rsidRDefault="00AA7785" w:rsidP="00AA778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611D7">
              <w:rPr>
                <w:rFonts w:ascii="Times New Roman" w:hAnsi="Times New Roman" w:cs="Times New Roman"/>
                <w:sz w:val="24"/>
                <w:szCs w:val="24"/>
              </w:rPr>
              <w:t xml:space="preserve">2,899 </w:t>
            </w:r>
          </w:p>
        </w:tc>
        <w:tc>
          <w:tcPr>
            <w:tcW w:w="632" w:type="pct"/>
            <w:noWrap/>
            <w:hideMark/>
          </w:tcPr>
          <w:p w14:paraId="43764534" w14:textId="7A7A8245" w:rsidR="00AA7785" w:rsidRPr="001611D7" w:rsidRDefault="00AA7785" w:rsidP="00AA778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611D7">
              <w:rPr>
                <w:rFonts w:ascii="Times New Roman" w:hAnsi="Times New Roman" w:cs="Times New Roman"/>
                <w:sz w:val="24"/>
                <w:szCs w:val="24"/>
              </w:rPr>
              <w:t xml:space="preserve">3,536 </w:t>
            </w:r>
          </w:p>
        </w:tc>
        <w:tc>
          <w:tcPr>
            <w:tcW w:w="632" w:type="pct"/>
            <w:noWrap/>
            <w:hideMark/>
          </w:tcPr>
          <w:p w14:paraId="2B49BD13" w14:textId="48E48D39" w:rsidR="00AA7785" w:rsidRPr="001611D7" w:rsidRDefault="00AA7785" w:rsidP="00AA778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611D7">
              <w:rPr>
                <w:rFonts w:ascii="Times New Roman" w:hAnsi="Times New Roman" w:cs="Times New Roman"/>
                <w:sz w:val="24"/>
                <w:szCs w:val="24"/>
              </w:rPr>
              <w:t xml:space="preserve">2,934 </w:t>
            </w:r>
          </w:p>
        </w:tc>
        <w:tc>
          <w:tcPr>
            <w:tcW w:w="630" w:type="pct"/>
            <w:noWrap/>
            <w:hideMark/>
          </w:tcPr>
          <w:p w14:paraId="46E74BEE" w14:textId="492E16D3" w:rsidR="00AA7785" w:rsidRPr="001611D7" w:rsidRDefault="00AA7785" w:rsidP="00AA778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611D7">
              <w:rPr>
                <w:rFonts w:ascii="Times New Roman" w:hAnsi="Times New Roman" w:cs="Times New Roman"/>
                <w:sz w:val="24"/>
                <w:szCs w:val="24"/>
              </w:rPr>
              <w:t xml:space="preserve">2,965 </w:t>
            </w:r>
          </w:p>
        </w:tc>
      </w:tr>
      <w:tr w:rsidR="001611D7" w:rsidRPr="001611D7" w14:paraId="0D705F94" w14:textId="77777777" w:rsidTr="008C7A44">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842" w:type="pct"/>
            <w:noWrap/>
            <w:hideMark/>
          </w:tcPr>
          <w:p w14:paraId="14EF9420" w14:textId="77777777" w:rsidR="00AA7785" w:rsidRPr="001611D7" w:rsidRDefault="00AA7785" w:rsidP="00AA7785">
            <w:pPr>
              <w:contextualSpacing/>
              <w:jc w:val="both"/>
              <w:rPr>
                <w:rFonts w:ascii="Times New Roman" w:hAnsi="Times New Roman" w:cs="Times New Roman"/>
                <w:sz w:val="24"/>
                <w:szCs w:val="24"/>
              </w:rPr>
            </w:pPr>
            <w:r w:rsidRPr="001611D7">
              <w:rPr>
                <w:rFonts w:ascii="Times New Roman" w:hAnsi="Times New Roman" w:cs="Times New Roman"/>
                <w:sz w:val="24"/>
                <w:szCs w:val="24"/>
              </w:rPr>
              <w:t>Burkina Faso</w:t>
            </w:r>
          </w:p>
        </w:tc>
        <w:tc>
          <w:tcPr>
            <w:tcW w:w="632" w:type="pct"/>
            <w:noWrap/>
            <w:hideMark/>
          </w:tcPr>
          <w:p w14:paraId="46125B87" w14:textId="074F3263" w:rsidR="00AA7785" w:rsidRPr="001611D7" w:rsidRDefault="00AA7785" w:rsidP="00AA778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611D7">
              <w:rPr>
                <w:rFonts w:ascii="Times New Roman" w:hAnsi="Times New Roman" w:cs="Times New Roman"/>
                <w:sz w:val="24"/>
                <w:szCs w:val="24"/>
              </w:rPr>
              <w:t xml:space="preserve">3,670 </w:t>
            </w:r>
          </w:p>
        </w:tc>
        <w:tc>
          <w:tcPr>
            <w:tcW w:w="632" w:type="pct"/>
            <w:noWrap/>
            <w:hideMark/>
          </w:tcPr>
          <w:p w14:paraId="494E23F5" w14:textId="77777777" w:rsidR="00AA7785" w:rsidRPr="001611D7" w:rsidRDefault="00AA7785" w:rsidP="00AA778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632" w:type="pct"/>
            <w:noWrap/>
            <w:hideMark/>
          </w:tcPr>
          <w:p w14:paraId="55C646A5" w14:textId="103EA8B0" w:rsidR="00AA7785" w:rsidRPr="001611D7" w:rsidRDefault="00AA7785" w:rsidP="00AA778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611D7">
              <w:rPr>
                <w:rFonts w:ascii="Times New Roman" w:hAnsi="Times New Roman" w:cs="Times New Roman"/>
                <w:sz w:val="24"/>
                <w:szCs w:val="24"/>
              </w:rPr>
              <w:t xml:space="preserve">5,628 </w:t>
            </w:r>
          </w:p>
        </w:tc>
        <w:tc>
          <w:tcPr>
            <w:tcW w:w="632" w:type="pct"/>
            <w:noWrap/>
            <w:hideMark/>
          </w:tcPr>
          <w:p w14:paraId="3290FD36" w14:textId="4EDA235B" w:rsidR="00AA7785" w:rsidRPr="001611D7" w:rsidRDefault="00AA7785" w:rsidP="00AA778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611D7">
              <w:rPr>
                <w:rFonts w:ascii="Times New Roman" w:hAnsi="Times New Roman" w:cs="Times New Roman"/>
                <w:sz w:val="24"/>
                <w:szCs w:val="24"/>
              </w:rPr>
              <w:t xml:space="preserve">5,431 </w:t>
            </w:r>
          </w:p>
        </w:tc>
        <w:tc>
          <w:tcPr>
            <w:tcW w:w="630" w:type="pct"/>
            <w:noWrap/>
            <w:hideMark/>
          </w:tcPr>
          <w:p w14:paraId="7F4ECF37" w14:textId="218B3579" w:rsidR="00AA7785" w:rsidRPr="001611D7" w:rsidRDefault="00AA7785" w:rsidP="00AA778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611D7">
              <w:rPr>
                <w:rFonts w:ascii="Times New Roman" w:hAnsi="Times New Roman" w:cs="Times New Roman"/>
                <w:sz w:val="24"/>
                <w:szCs w:val="24"/>
              </w:rPr>
              <w:t xml:space="preserve">5,785 </w:t>
            </w:r>
          </w:p>
        </w:tc>
      </w:tr>
      <w:tr w:rsidR="001611D7" w:rsidRPr="001611D7" w14:paraId="5E333A55" w14:textId="77777777" w:rsidTr="008C7A44">
        <w:trPr>
          <w:trHeight w:val="227"/>
        </w:trPr>
        <w:tc>
          <w:tcPr>
            <w:cnfStyle w:val="001000000000" w:firstRow="0" w:lastRow="0" w:firstColumn="1" w:lastColumn="0" w:oddVBand="0" w:evenVBand="0" w:oddHBand="0" w:evenHBand="0" w:firstRowFirstColumn="0" w:firstRowLastColumn="0" w:lastRowFirstColumn="0" w:lastRowLastColumn="0"/>
            <w:tcW w:w="1842" w:type="pct"/>
            <w:noWrap/>
            <w:hideMark/>
          </w:tcPr>
          <w:p w14:paraId="2B0F6824" w14:textId="77777777" w:rsidR="00AA7785" w:rsidRPr="001611D7" w:rsidRDefault="00AA7785" w:rsidP="00AA7785">
            <w:pPr>
              <w:contextualSpacing/>
              <w:jc w:val="both"/>
              <w:rPr>
                <w:rFonts w:ascii="Times New Roman" w:hAnsi="Times New Roman" w:cs="Times New Roman"/>
                <w:sz w:val="24"/>
                <w:szCs w:val="24"/>
              </w:rPr>
            </w:pPr>
            <w:r w:rsidRPr="001611D7">
              <w:rPr>
                <w:rFonts w:ascii="Times New Roman" w:hAnsi="Times New Roman" w:cs="Times New Roman"/>
                <w:sz w:val="24"/>
                <w:szCs w:val="24"/>
              </w:rPr>
              <w:t>Côte d'Ivoire</w:t>
            </w:r>
          </w:p>
        </w:tc>
        <w:tc>
          <w:tcPr>
            <w:tcW w:w="632" w:type="pct"/>
            <w:noWrap/>
            <w:hideMark/>
          </w:tcPr>
          <w:p w14:paraId="091AE979" w14:textId="082E78E5" w:rsidR="00AA7785" w:rsidRPr="001611D7" w:rsidRDefault="00AA7785" w:rsidP="00AA778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611D7">
              <w:rPr>
                <w:rFonts w:ascii="Times New Roman" w:hAnsi="Times New Roman" w:cs="Times New Roman"/>
                <w:sz w:val="24"/>
                <w:szCs w:val="24"/>
              </w:rPr>
              <w:t xml:space="preserve">3,494 </w:t>
            </w:r>
          </w:p>
        </w:tc>
        <w:tc>
          <w:tcPr>
            <w:tcW w:w="632" w:type="pct"/>
            <w:noWrap/>
            <w:hideMark/>
          </w:tcPr>
          <w:p w14:paraId="687B89DE" w14:textId="3A0C509A" w:rsidR="00AA7785" w:rsidRPr="001611D7" w:rsidRDefault="00AA7785" w:rsidP="00AA778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611D7">
              <w:rPr>
                <w:rFonts w:ascii="Times New Roman" w:hAnsi="Times New Roman" w:cs="Times New Roman"/>
                <w:sz w:val="24"/>
                <w:szCs w:val="24"/>
              </w:rPr>
              <w:t xml:space="preserve">3,972 </w:t>
            </w:r>
          </w:p>
        </w:tc>
        <w:tc>
          <w:tcPr>
            <w:tcW w:w="632" w:type="pct"/>
            <w:noWrap/>
            <w:hideMark/>
          </w:tcPr>
          <w:p w14:paraId="6664EB5A" w14:textId="274ED7A0" w:rsidR="00AA7785" w:rsidRPr="001611D7" w:rsidRDefault="00AA7785" w:rsidP="00AA778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611D7">
              <w:rPr>
                <w:rFonts w:ascii="Times New Roman" w:hAnsi="Times New Roman" w:cs="Times New Roman"/>
                <w:sz w:val="24"/>
                <w:szCs w:val="24"/>
              </w:rPr>
              <w:t xml:space="preserve">3,803 </w:t>
            </w:r>
          </w:p>
        </w:tc>
        <w:tc>
          <w:tcPr>
            <w:tcW w:w="632" w:type="pct"/>
            <w:noWrap/>
            <w:hideMark/>
          </w:tcPr>
          <w:p w14:paraId="48A5D681" w14:textId="16B2D2F2" w:rsidR="00AA7785" w:rsidRPr="001611D7" w:rsidRDefault="00AA7785" w:rsidP="00AA778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611D7">
              <w:rPr>
                <w:rFonts w:ascii="Times New Roman" w:hAnsi="Times New Roman" w:cs="Times New Roman"/>
                <w:sz w:val="24"/>
                <w:szCs w:val="24"/>
              </w:rPr>
              <w:t xml:space="preserve">3,240 </w:t>
            </w:r>
          </w:p>
        </w:tc>
        <w:tc>
          <w:tcPr>
            <w:tcW w:w="630" w:type="pct"/>
            <w:noWrap/>
            <w:hideMark/>
          </w:tcPr>
          <w:p w14:paraId="1D22E18A" w14:textId="65533BC5" w:rsidR="00AA7785" w:rsidRPr="001611D7" w:rsidRDefault="00AA7785" w:rsidP="00AA778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611D7">
              <w:rPr>
                <w:rFonts w:ascii="Times New Roman" w:hAnsi="Times New Roman" w:cs="Times New Roman"/>
                <w:sz w:val="24"/>
                <w:szCs w:val="24"/>
              </w:rPr>
              <w:t xml:space="preserve">3,700 </w:t>
            </w:r>
          </w:p>
        </w:tc>
      </w:tr>
      <w:tr w:rsidR="001611D7" w:rsidRPr="001611D7" w14:paraId="046C4CC7" w14:textId="77777777" w:rsidTr="008C7A44">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842" w:type="pct"/>
            <w:noWrap/>
            <w:hideMark/>
          </w:tcPr>
          <w:p w14:paraId="6E51A87E" w14:textId="77777777" w:rsidR="00AA7785" w:rsidRPr="001611D7" w:rsidRDefault="00AA7785" w:rsidP="00AA7785">
            <w:pPr>
              <w:contextualSpacing/>
              <w:jc w:val="both"/>
              <w:rPr>
                <w:rFonts w:ascii="Times New Roman" w:hAnsi="Times New Roman" w:cs="Times New Roman"/>
                <w:sz w:val="24"/>
                <w:szCs w:val="24"/>
              </w:rPr>
            </w:pPr>
            <w:r w:rsidRPr="001611D7">
              <w:rPr>
                <w:rFonts w:ascii="Times New Roman" w:hAnsi="Times New Roman" w:cs="Times New Roman"/>
                <w:sz w:val="24"/>
                <w:szCs w:val="24"/>
              </w:rPr>
              <w:t>Mali</w:t>
            </w:r>
          </w:p>
        </w:tc>
        <w:tc>
          <w:tcPr>
            <w:tcW w:w="632" w:type="pct"/>
            <w:noWrap/>
            <w:hideMark/>
          </w:tcPr>
          <w:p w14:paraId="4DB9CCE7" w14:textId="4A74B297" w:rsidR="00AA7785" w:rsidRPr="001611D7" w:rsidRDefault="00AA7785" w:rsidP="00AA778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611D7">
              <w:rPr>
                <w:rFonts w:ascii="Times New Roman" w:hAnsi="Times New Roman" w:cs="Times New Roman"/>
                <w:sz w:val="24"/>
                <w:szCs w:val="24"/>
              </w:rPr>
              <w:t xml:space="preserve">3,802 </w:t>
            </w:r>
          </w:p>
        </w:tc>
        <w:tc>
          <w:tcPr>
            <w:tcW w:w="632" w:type="pct"/>
            <w:noWrap/>
            <w:hideMark/>
          </w:tcPr>
          <w:p w14:paraId="6BF69FBE" w14:textId="79F42358" w:rsidR="00AA7785" w:rsidRPr="001611D7" w:rsidRDefault="00AA7785" w:rsidP="00AA778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611D7">
              <w:rPr>
                <w:rFonts w:ascii="Times New Roman" w:hAnsi="Times New Roman" w:cs="Times New Roman"/>
                <w:sz w:val="24"/>
                <w:szCs w:val="24"/>
              </w:rPr>
              <w:t xml:space="preserve">3,095 </w:t>
            </w:r>
          </w:p>
        </w:tc>
        <w:tc>
          <w:tcPr>
            <w:tcW w:w="632" w:type="pct"/>
            <w:noWrap/>
            <w:hideMark/>
          </w:tcPr>
          <w:p w14:paraId="6F5B3674" w14:textId="6F775499" w:rsidR="00AA7785" w:rsidRPr="001611D7" w:rsidRDefault="00AA7785" w:rsidP="00AA778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611D7">
              <w:rPr>
                <w:rFonts w:ascii="Times New Roman" w:hAnsi="Times New Roman" w:cs="Times New Roman"/>
                <w:sz w:val="24"/>
                <w:szCs w:val="24"/>
              </w:rPr>
              <w:t xml:space="preserve">3,790 </w:t>
            </w:r>
          </w:p>
        </w:tc>
        <w:tc>
          <w:tcPr>
            <w:tcW w:w="632" w:type="pct"/>
            <w:noWrap/>
            <w:hideMark/>
          </w:tcPr>
          <w:p w14:paraId="1944F8DA" w14:textId="4FF55F6D" w:rsidR="00AA7785" w:rsidRPr="001611D7" w:rsidRDefault="00AA7785" w:rsidP="00AA778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611D7">
              <w:rPr>
                <w:rFonts w:ascii="Times New Roman" w:hAnsi="Times New Roman" w:cs="Times New Roman"/>
                <w:sz w:val="24"/>
                <w:szCs w:val="24"/>
              </w:rPr>
              <w:t xml:space="preserve">3,883 </w:t>
            </w:r>
          </w:p>
        </w:tc>
        <w:tc>
          <w:tcPr>
            <w:tcW w:w="630" w:type="pct"/>
            <w:noWrap/>
            <w:hideMark/>
          </w:tcPr>
          <w:p w14:paraId="060B8EA7" w14:textId="135ABD87" w:rsidR="00AA7785" w:rsidRPr="001611D7" w:rsidRDefault="00AA7785" w:rsidP="00AA778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611D7">
              <w:rPr>
                <w:rFonts w:ascii="Times New Roman" w:hAnsi="Times New Roman" w:cs="Times New Roman"/>
                <w:sz w:val="24"/>
                <w:szCs w:val="24"/>
              </w:rPr>
              <w:t xml:space="preserve">3,439 </w:t>
            </w:r>
          </w:p>
        </w:tc>
      </w:tr>
      <w:tr w:rsidR="001611D7" w:rsidRPr="001611D7" w14:paraId="714CC5E6" w14:textId="77777777" w:rsidTr="008C7A44">
        <w:trPr>
          <w:trHeight w:val="227"/>
        </w:trPr>
        <w:tc>
          <w:tcPr>
            <w:cnfStyle w:val="001000000000" w:firstRow="0" w:lastRow="0" w:firstColumn="1" w:lastColumn="0" w:oddVBand="0" w:evenVBand="0" w:oddHBand="0" w:evenHBand="0" w:firstRowFirstColumn="0" w:firstRowLastColumn="0" w:lastRowFirstColumn="0" w:lastRowLastColumn="0"/>
            <w:tcW w:w="1842" w:type="pct"/>
            <w:noWrap/>
            <w:hideMark/>
          </w:tcPr>
          <w:p w14:paraId="49CA12EF" w14:textId="77777777" w:rsidR="00AA7785" w:rsidRPr="001611D7" w:rsidRDefault="00AA7785" w:rsidP="00AA7785">
            <w:pPr>
              <w:contextualSpacing/>
              <w:jc w:val="both"/>
              <w:rPr>
                <w:rFonts w:ascii="Times New Roman" w:hAnsi="Times New Roman" w:cs="Times New Roman"/>
                <w:sz w:val="24"/>
                <w:szCs w:val="24"/>
              </w:rPr>
            </w:pPr>
            <w:r w:rsidRPr="001611D7">
              <w:rPr>
                <w:rFonts w:ascii="Times New Roman" w:hAnsi="Times New Roman" w:cs="Times New Roman"/>
                <w:sz w:val="24"/>
                <w:szCs w:val="24"/>
              </w:rPr>
              <w:t>Mauritanie</w:t>
            </w:r>
          </w:p>
        </w:tc>
        <w:tc>
          <w:tcPr>
            <w:tcW w:w="632" w:type="pct"/>
            <w:noWrap/>
            <w:hideMark/>
          </w:tcPr>
          <w:p w14:paraId="68452DD8" w14:textId="77777777" w:rsidR="00AA7785" w:rsidRPr="001611D7" w:rsidRDefault="00AA7785" w:rsidP="00AA778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632" w:type="pct"/>
            <w:noWrap/>
            <w:hideMark/>
          </w:tcPr>
          <w:p w14:paraId="40FC9B33" w14:textId="1B25B139" w:rsidR="00AA7785" w:rsidRPr="001611D7" w:rsidRDefault="00AA7785" w:rsidP="00AA778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611D7">
              <w:rPr>
                <w:rFonts w:ascii="Times New Roman" w:hAnsi="Times New Roman" w:cs="Times New Roman"/>
                <w:sz w:val="24"/>
                <w:szCs w:val="24"/>
              </w:rPr>
              <w:t xml:space="preserve">1,944 </w:t>
            </w:r>
          </w:p>
        </w:tc>
        <w:tc>
          <w:tcPr>
            <w:tcW w:w="632" w:type="pct"/>
            <w:noWrap/>
            <w:hideMark/>
          </w:tcPr>
          <w:p w14:paraId="35DAC44D" w14:textId="77777777" w:rsidR="00AA7785" w:rsidRPr="001611D7" w:rsidRDefault="00AA7785" w:rsidP="00AA778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632" w:type="pct"/>
            <w:noWrap/>
            <w:hideMark/>
          </w:tcPr>
          <w:p w14:paraId="24A99078" w14:textId="77777777" w:rsidR="00AA7785" w:rsidRPr="001611D7" w:rsidRDefault="00AA7785" w:rsidP="00AA778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630" w:type="pct"/>
            <w:noWrap/>
            <w:hideMark/>
          </w:tcPr>
          <w:p w14:paraId="181824E9" w14:textId="4CC895CC" w:rsidR="00AA7785" w:rsidRPr="001611D7" w:rsidRDefault="00AA7785" w:rsidP="00AA778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611D7">
              <w:rPr>
                <w:rFonts w:ascii="Times New Roman" w:hAnsi="Times New Roman" w:cs="Times New Roman"/>
                <w:sz w:val="24"/>
                <w:szCs w:val="24"/>
              </w:rPr>
              <w:t xml:space="preserve">1,894 </w:t>
            </w:r>
          </w:p>
        </w:tc>
      </w:tr>
      <w:tr w:rsidR="001611D7" w:rsidRPr="001611D7" w14:paraId="4FA93476" w14:textId="77777777" w:rsidTr="008C7A44">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842" w:type="pct"/>
            <w:noWrap/>
            <w:hideMark/>
          </w:tcPr>
          <w:p w14:paraId="2950FECB" w14:textId="77777777" w:rsidR="00AA7785" w:rsidRPr="001611D7" w:rsidRDefault="00AA7785" w:rsidP="00AA7785">
            <w:pPr>
              <w:contextualSpacing/>
              <w:jc w:val="both"/>
              <w:rPr>
                <w:rFonts w:ascii="Times New Roman" w:hAnsi="Times New Roman" w:cs="Times New Roman"/>
                <w:sz w:val="24"/>
                <w:szCs w:val="24"/>
              </w:rPr>
            </w:pPr>
            <w:r w:rsidRPr="001611D7">
              <w:rPr>
                <w:rFonts w:ascii="Times New Roman" w:hAnsi="Times New Roman" w:cs="Times New Roman"/>
                <w:sz w:val="24"/>
                <w:szCs w:val="24"/>
              </w:rPr>
              <w:t>Niger</w:t>
            </w:r>
          </w:p>
        </w:tc>
        <w:tc>
          <w:tcPr>
            <w:tcW w:w="632" w:type="pct"/>
            <w:noWrap/>
            <w:hideMark/>
          </w:tcPr>
          <w:p w14:paraId="234B7D80" w14:textId="46278EBF" w:rsidR="00AA7785" w:rsidRPr="001611D7" w:rsidRDefault="00AA7785" w:rsidP="00AA778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611D7">
              <w:rPr>
                <w:rFonts w:ascii="Times New Roman" w:hAnsi="Times New Roman" w:cs="Times New Roman"/>
                <w:sz w:val="24"/>
                <w:szCs w:val="24"/>
              </w:rPr>
              <w:t xml:space="preserve">4,486 </w:t>
            </w:r>
          </w:p>
        </w:tc>
        <w:tc>
          <w:tcPr>
            <w:tcW w:w="632" w:type="pct"/>
            <w:noWrap/>
            <w:hideMark/>
          </w:tcPr>
          <w:p w14:paraId="221A637B" w14:textId="5CD88C0B" w:rsidR="00AA7785" w:rsidRPr="001611D7" w:rsidRDefault="00AA7785" w:rsidP="00AA778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611D7">
              <w:rPr>
                <w:rFonts w:ascii="Times New Roman" w:hAnsi="Times New Roman" w:cs="Times New Roman"/>
                <w:sz w:val="24"/>
                <w:szCs w:val="24"/>
              </w:rPr>
              <w:t xml:space="preserve">2,971 </w:t>
            </w:r>
          </w:p>
        </w:tc>
        <w:tc>
          <w:tcPr>
            <w:tcW w:w="632" w:type="pct"/>
            <w:noWrap/>
            <w:hideMark/>
          </w:tcPr>
          <w:p w14:paraId="69672033" w14:textId="7A815949" w:rsidR="00AA7785" w:rsidRPr="001611D7" w:rsidRDefault="00AA7785" w:rsidP="00AA778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611D7">
              <w:rPr>
                <w:rFonts w:ascii="Times New Roman" w:hAnsi="Times New Roman" w:cs="Times New Roman"/>
                <w:sz w:val="24"/>
                <w:szCs w:val="24"/>
              </w:rPr>
              <w:t xml:space="preserve">2,577 </w:t>
            </w:r>
          </w:p>
        </w:tc>
        <w:tc>
          <w:tcPr>
            <w:tcW w:w="632" w:type="pct"/>
            <w:noWrap/>
            <w:hideMark/>
          </w:tcPr>
          <w:p w14:paraId="344B3F69" w14:textId="4F4B36CF" w:rsidR="00AA7785" w:rsidRPr="001611D7" w:rsidRDefault="00AA7785" w:rsidP="00AA778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611D7">
              <w:rPr>
                <w:rFonts w:ascii="Times New Roman" w:hAnsi="Times New Roman" w:cs="Times New Roman"/>
                <w:sz w:val="24"/>
                <w:szCs w:val="24"/>
              </w:rPr>
              <w:t xml:space="preserve">3,447 </w:t>
            </w:r>
          </w:p>
        </w:tc>
        <w:tc>
          <w:tcPr>
            <w:tcW w:w="630" w:type="pct"/>
            <w:noWrap/>
            <w:hideMark/>
          </w:tcPr>
          <w:p w14:paraId="45CC74CA" w14:textId="1382959E" w:rsidR="00AA7785" w:rsidRPr="001611D7" w:rsidRDefault="00AA7785" w:rsidP="00AA778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611D7">
              <w:rPr>
                <w:rFonts w:ascii="Times New Roman" w:hAnsi="Times New Roman" w:cs="Times New Roman"/>
                <w:sz w:val="24"/>
                <w:szCs w:val="24"/>
              </w:rPr>
              <w:t xml:space="preserve">3,523 </w:t>
            </w:r>
          </w:p>
        </w:tc>
      </w:tr>
      <w:tr w:rsidR="001611D7" w:rsidRPr="001611D7" w14:paraId="1901363C" w14:textId="77777777" w:rsidTr="008C7A44">
        <w:trPr>
          <w:trHeight w:val="227"/>
        </w:trPr>
        <w:tc>
          <w:tcPr>
            <w:cnfStyle w:val="001000000000" w:firstRow="0" w:lastRow="0" w:firstColumn="1" w:lastColumn="0" w:oddVBand="0" w:evenVBand="0" w:oddHBand="0" w:evenHBand="0" w:firstRowFirstColumn="0" w:firstRowLastColumn="0" w:lastRowFirstColumn="0" w:lastRowLastColumn="0"/>
            <w:tcW w:w="1842" w:type="pct"/>
            <w:noWrap/>
            <w:hideMark/>
          </w:tcPr>
          <w:p w14:paraId="294E6CDC" w14:textId="77777777" w:rsidR="00AA7785" w:rsidRPr="001611D7" w:rsidRDefault="00AA7785" w:rsidP="00AA7785">
            <w:pPr>
              <w:contextualSpacing/>
              <w:jc w:val="both"/>
              <w:rPr>
                <w:rFonts w:ascii="Times New Roman" w:hAnsi="Times New Roman" w:cs="Times New Roman"/>
                <w:sz w:val="24"/>
                <w:szCs w:val="24"/>
              </w:rPr>
            </w:pPr>
            <w:r w:rsidRPr="001611D7">
              <w:rPr>
                <w:rFonts w:ascii="Times New Roman" w:hAnsi="Times New Roman" w:cs="Times New Roman"/>
                <w:sz w:val="24"/>
                <w:szCs w:val="24"/>
              </w:rPr>
              <w:t>Sénégal</w:t>
            </w:r>
          </w:p>
        </w:tc>
        <w:tc>
          <w:tcPr>
            <w:tcW w:w="632" w:type="pct"/>
            <w:noWrap/>
            <w:hideMark/>
          </w:tcPr>
          <w:p w14:paraId="40B2ED2B" w14:textId="13B28FE4" w:rsidR="00AA7785" w:rsidRPr="001611D7" w:rsidRDefault="00AA7785" w:rsidP="00AA778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611D7">
              <w:rPr>
                <w:rFonts w:ascii="Times New Roman" w:hAnsi="Times New Roman" w:cs="Times New Roman"/>
                <w:sz w:val="24"/>
                <w:szCs w:val="24"/>
              </w:rPr>
              <w:t xml:space="preserve">5,456 </w:t>
            </w:r>
          </w:p>
        </w:tc>
        <w:tc>
          <w:tcPr>
            <w:tcW w:w="632" w:type="pct"/>
            <w:noWrap/>
            <w:hideMark/>
          </w:tcPr>
          <w:p w14:paraId="2B415BC5" w14:textId="4446C7DD" w:rsidR="00AA7785" w:rsidRPr="001611D7" w:rsidRDefault="00AA7785" w:rsidP="00AA778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611D7">
              <w:rPr>
                <w:rFonts w:ascii="Times New Roman" w:hAnsi="Times New Roman" w:cs="Times New Roman"/>
                <w:sz w:val="24"/>
                <w:szCs w:val="24"/>
              </w:rPr>
              <w:t xml:space="preserve">5,113 </w:t>
            </w:r>
          </w:p>
        </w:tc>
        <w:tc>
          <w:tcPr>
            <w:tcW w:w="632" w:type="pct"/>
            <w:noWrap/>
            <w:hideMark/>
          </w:tcPr>
          <w:p w14:paraId="056A638B" w14:textId="6A6E3F4D" w:rsidR="00AA7785" w:rsidRPr="001611D7" w:rsidRDefault="00AA7785" w:rsidP="00AA778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611D7">
              <w:rPr>
                <w:rFonts w:ascii="Times New Roman" w:hAnsi="Times New Roman" w:cs="Times New Roman"/>
                <w:sz w:val="24"/>
                <w:szCs w:val="24"/>
              </w:rPr>
              <w:t xml:space="preserve">4,625 </w:t>
            </w:r>
          </w:p>
        </w:tc>
        <w:tc>
          <w:tcPr>
            <w:tcW w:w="632" w:type="pct"/>
            <w:noWrap/>
            <w:hideMark/>
          </w:tcPr>
          <w:p w14:paraId="5D799034" w14:textId="227F5AE5" w:rsidR="00AA7785" w:rsidRPr="001611D7" w:rsidRDefault="00AA7785" w:rsidP="00AA778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611D7">
              <w:rPr>
                <w:rFonts w:ascii="Times New Roman" w:hAnsi="Times New Roman" w:cs="Times New Roman"/>
                <w:sz w:val="24"/>
                <w:szCs w:val="24"/>
              </w:rPr>
              <w:t xml:space="preserve">4,858 </w:t>
            </w:r>
          </w:p>
        </w:tc>
        <w:tc>
          <w:tcPr>
            <w:tcW w:w="630" w:type="pct"/>
            <w:noWrap/>
            <w:hideMark/>
          </w:tcPr>
          <w:p w14:paraId="1B9E0A63" w14:textId="321C4567" w:rsidR="00AA7785" w:rsidRPr="001611D7" w:rsidRDefault="00AA7785" w:rsidP="00AA778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611D7">
              <w:rPr>
                <w:rFonts w:ascii="Times New Roman" w:hAnsi="Times New Roman" w:cs="Times New Roman"/>
                <w:sz w:val="24"/>
                <w:szCs w:val="24"/>
              </w:rPr>
              <w:t xml:space="preserve">5,287 </w:t>
            </w:r>
          </w:p>
        </w:tc>
      </w:tr>
      <w:tr w:rsidR="001611D7" w:rsidRPr="001611D7" w14:paraId="6E27DF0F" w14:textId="77777777" w:rsidTr="008C7A44">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842" w:type="pct"/>
            <w:noWrap/>
            <w:hideMark/>
          </w:tcPr>
          <w:p w14:paraId="7E858528" w14:textId="77777777" w:rsidR="00AA7785" w:rsidRPr="001611D7" w:rsidRDefault="00AA7785" w:rsidP="00AA7785">
            <w:pPr>
              <w:contextualSpacing/>
              <w:jc w:val="both"/>
              <w:rPr>
                <w:rFonts w:ascii="Times New Roman" w:hAnsi="Times New Roman" w:cs="Times New Roman"/>
                <w:sz w:val="24"/>
                <w:szCs w:val="24"/>
              </w:rPr>
            </w:pPr>
            <w:r w:rsidRPr="001611D7">
              <w:rPr>
                <w:rFonts w:ascii="Times New Roman" w:hAnsi="Times New Roman" w:cs="Times New Roman"/>
                <w:sz w:val="24"/>
                <w:szCs w:val="24"/>
              </w:rPr>
              <w:t>Tchad</w:t>
            </w:r>
          </w:p>
        </w:tc>
        <w:tc>
          <w:tcPr>
            <w:tcW w:w="632" w:type="pct"/>
            <w:noWrap/>
            <w:hideMark/>
          </w:tcPr>
          <w:p w14:paraId="635247B7" w14:textId="70372575" w:rsidR="00AA7785" w:rsidRPr="001611D7" w:rsidRDefault="00AA7785" w:rsidP="00AA778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611D7">
              <w:rPr>
                <w:rFonts w:ascii="Times New Roman" w:hAnsi="Times New Roman" w:cs="Times New Roman"/>
                <w:sz w:val="24"/>
                <w:szCs w:val="24"/>
              </w:rPr>
              <w:t xml:space="preserve">2,400 </w:t>
            </w:r>
          </w:p>
        </w:tc>
        <w:tc>
          <w:tcPr>
            <w:tcW w:w="632" w:type="pct"/>
            <w:noWrap/>
            <w:hideMark/>
          </w:tcPr>
          <w:p w14:paraId="66961ECE" w14:textId="0EA4E87A" w:rsidR="00AA7785" w:rsidRPr="001611D7" w:rsidRDefault="00AA7785" w:rsidP="00AA778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611D7">
              <w:rPr>
                <w:rFonts w:ascii="Times New Roman" w:hAnsi="Times New Roman" w:cs="Times New Roman"/>
                <w:sz w:val="24"/>
                <w:szCs w:val="24"/>
              </w:rPr>
              <w:t xml:space="preserve">2,300 </w:t>
            </w:r>
          </w:p>
        </w:tc>
        <w:tc>
          <w:tcPr>
            <w:tcW w:w="632" w:type="pct"/>
            <w:noWrap/>
            <w:hideMark/>
          </w:tcPr>
          <w:p w14:paraId="2828B12F" w14:textId="6777443E" w:rsidR="00AA7785" w:rsidRPr="001611D7" w:rsidRDefault="00AA7785" w:rsidP="00AA778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611D7">
              <w:rPr>
                <w:rFonts w:ascii="Times New Roman" w:hAnsi="Times New Roman" w:cs="Times New Roman"/>
                <w:sz w:val="24"/>
                <w:szCs w:val="24"/>
              </w:rPr>
              <w:t xml:space="preserve">2,455 </w:t>
            </w:r>
          </w:p>
        </w:tc>
        <w:tc>
          <w:tcPr>
            <w:tcW w:w="632" w:type="pct"/>
            <w:noWrap/>
            <w:hideMark/>
          </w:tcPr>
          <w:p w14:paraId="3C222494" w14:textId="6581FA01" w:rsidR="00AA7785" w:rsidRPr="001611D7" w:rsidRDefault="00AA7785" w:rsidP="00AA778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611D7">
              <w:rPr>
                <w:rFonts w:ascii="Times New Roman" w:hAnsi="Times New Roman" w:cs="Times New Roman"/>
                <w:sz w:val="24"/>
                <w:szCs w:val="24"/>
              </w:rPr>
              <w:t xml:space="preserve">2,259 </w:t>
            </w:r>
          </w:p>
        </w:tc>
        <w:tc>
          <w:tcPr>
            <w:tcW w:w="630" w:type="pct"/>
            <w:noWrap/>
            <w:hideMark/>
          </w:tcPr>
          <w:p w14:paraId="04E206B4" w14:textId="0D66CFCE" w:rsidR="00AA7785" w:rsidRPr="001611D7" w:rsidRDefault="00AA7785" w:rsidP="00AA778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611D7">
              <w:rPr>
                <w:rFonts w:ascii="Times New Roman" w:hAnsi="Times New Roman" w:cs="Times New Roman"/>
                <w:sz w:val="24"/>
                <w:szCs w:val="24"/>
              </w:rPr>
              <w:t xml:space="preserve">2,372 </w:t>
            </w:r>
          </w:p>
        </w:tc>
      </w:tr>
      <w:tr w:rsidR="001611D7" w:rsidRPr="001611D7" w14:paraId="198A0E6D" w14:textId="77777777" w:rsidTr="008C7A44">
        <w:trPr>
          <w:trHeight w:val="227"/>
        </w:trPr>
        <w:tc>
          <w:tcPr>
            <w:cnfStyle w:val="001000000000" w:firstRow="0" w:lastRow="0" w:firstColumn="1" w:lastColumn="0" w:oddVBand="0" w:evenVBand="0" w:oddHBand="0" w:evenHBand="0" w:firstRowFirstColumn="0" w:firstRowLastColumn="0" w:lastRowFirstColumn="0" w:lastRowLastColumn="0"/>
            <w:tcW w:w="1842" w:type="pct"/>
            <w:noWrap/>
          </w:tcPr>
          <w:p w14:paraId="77F58833" w14:textId="305EE101" w:rsidR="001611D7" w:rsidRPr="001611D7" w:rsidRDefault="001611D7" w:rsidP="001611D7">
            <w:pPr>
              <w:contextualSpacing/>
              <w:rPr>
                <w:rFonts w:ascii="Times New Roman" w:hAnsi="Times New Roman" w:cs="Times New Roman"/>
                <w:sz w:val="24"/>
                <w:szCs w:val="24"/>
              </w:rPr>
            </w:pPr>
            <w:r w:rsidRPr="001611D7">
              <w:rPr>
                <w:rFonts w:ascii="Times New Roman" w:hAnsi="Times New Roman" w:cs="Times New Roman"/>
                <w:sz w:val="24"/>
                <w:szCs w:val="24"/>
              </w:rPr>
              <w:t>Afrique subsaharienne</w:t>
            </w:r>
          </w:p>
        </w:tc>
        <w:tc>
          <w:tcPr>
            <w:tcW w:w="632" w:type="pct"/>
            <w:noWrap/>
          </w:tcPr>
          <w:p w14:paraId="2177156C" w14:textId="42EABA6E" w:rsidR="001611D7" w:rsidRPr="001611D7" w:rsidRDefault="001611D7" w:rsidP="001611D7">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611D7">
              <w:rPr>
                <w:rFonts w:ascii="Times New Roman" w:hAnsi="Times New Roman" w:cs="Times New Roman"/>
                <w:sz w:val="24"/>
                <w:szCs w:val="24"/>
              </w:rPr>
              <w:t xml:space="preserve">3,736 </w:t>
            </w:r>
          </w:p>
        </w:tc>
        <w:tc>
          <w:tcPr>
            <w:tcW w:w="632" w:type="pct"/>
            <w:noWrap/>
          </w:tcPr>
          <w:p w14:paraId="707DA4AD" w14:textId="41FEEA59" w:rsidR="001611D7" w:rsidRPr="001611D7" w:rsidRDefault="001611D7" w:rsidP="001611D7">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611D7">
              <w:rPr>
                <w:rFonts w:ascii="Times New Roman" w:hAnsi="Times New Roman" w:cs="Times New Roman"/>
                <w:sz w:val="24"/>
                <w:szCs w:val="24"/>
              </w:rPr>
              <w:t xml:space="preserve">3,562 </w:t>
            </w:r>
          </w:p>
        </w:tc>
        <w:tc>
          <w:tcPr>
            <w:tcW w:w="632" w:type="pct"/>
            <w:noWrap/>
          </w:tcPr>
          <w:p w14:paraId="1F2375E3" w14:textId="6B7130BF" w:rsidR="001611D7" w:rsidRPr="001611D7" w:rsidRDefault="001611D7" w:rsidP="001611D7">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611D7">
              <w:rPr>
                <w:rFonts w:ascii="Times New Roman" w:hAnsi="Times New Roman" w:cs="Times New Roman"/>
                <w:sz w:val="24"/>
                <w:szCs w:val="24"/>
              </w:rPr>
              <w:t xml:space="preserve">3,790 </w:t>
            </w:r>
          </w:p>
        </w:tc>
        <w:tc>
          <w:tcPr>
            <w:tcW w:w="632" w:type="pct"/>
            <w:noWrap/>
          </w:tcPr>
          <w:p w14:paraId="2E6E54D1" w14:textId="7067F61C" w:rsidR="001611D7" w:rsidRPr="001611D7" w:rsidRDefault="001611D7" w:rsidP="001611D7">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611D7">
              <w:rPr>
                <w:rFonts w:ascii="Times New Roman" w:hAnsi="Times New Roman" w:cs="Times New Roman"/>
                <w:sz w:val="24"/>
                <w:szCs w:val="24"/>
              </w:rPr>
              <w:t xml:space="preserve">3,642 </w:t>
            </w:r>
          </w:p>
        </w:tc>
        <w:tc>
          <w:tcPr>
            <w:tcW w:w="630" w:type="pct"/>
            <w:noWrap/>
          </w:tcPr>
          <w:p w14:paraId="59B8971D" w14:textId="5F599192" w:rsidR="001611D7" w:rsidRPr="001611D7" w:rsidRDefault="001611D7" w:rsidP="001611D7">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611D7">
              <w:rPr>
                <w:rFonts w:ascii="Times New Roman" w:hAnsi="Times New Roman" w:cs="Times New Roman"/>
                <w:sz w:val="24"/>
                <w:szCs w:val="24"/>
              </w:rPr>
              <w:t xml:space="preserve">3,535 </w:t>
            </w:r>
          </w:p>
        </w:tc>
      </w:tr>
      <w:tr w:rsidR="001611D7" w:rsidRPr="001611D7" w14:paraId="64B71A9B" w14:textId="77777777" w:rsidTr="008C7A44">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842" w:type="pct"/>
            <w:noWrap/>
          </w:tcPr>
          <w:p w14:paraId="4A614F3D" w14:textId="7927D970" w:rsidR="001611D7" w:rsidRPr="001611D7" w:rsidRDefault="001611D7" w:rsidP="001611D7">
            <w:pPr>
              <w:contextualSpacing/>
              <w:jc w:val="both"/>
              <w:rPr>
                <w:rFonts w:ascii="Times New Roman" w:hAnsi="Times New Roman" w:cs="Times New Roman"/>
                <w:sz w:val="24"/>
                <w:szCs w:val="24"/>
              </w:rPr>
            </w:pPr>
            <w:r w:rsidRPr="001611D7">
              <w:rPr>
                <w:rFonts w:ascii="Times New Roman" w:hAnsi="Times New Roman" w:cs="Times New Roman"/>
                <w:sz w:val="24"/>
                <w:szCs w:val="24"/>
              </w:rPr>
              <w:t>Revenu élevé</w:t>
            </w:r>
          </w:p>
        </w:tc>
        <w:tc>
          <w:tcPr>
            <w:tcW w:w="632" w:type="pct"/>
            <w:noWrap/>
          </w:tcPr>
          <w:p w14:paraId="1229B486" w14:textId="046AE3BC" w:rsidR="001611D7" w:rsidRPr="001611D7" w:rsidRDefault="001611D7" w:rsidP="001611D7">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611D7">
              <w:rPr>
                <w:rFonts w:ascii="Times New Roman" w:hAnsi="Times New Roman" w:cs="Times New Roman"/>
                <w:color w:val="000000"/>
                <w:sz w:val="24"/>
                <w:szCs w:val="24"/>
              </w:rPr>
              <w:t>4,897</w:t>
            </w:r>
          </w:p>
        </w:tc>
        <w:tc>
          <w:tcPr>
            <w:tcW w:w="632" w:type="pct"/>
            <w:noWrap/>
          </w:tcPr>
          <w:p w14:paraId="64FF3897" w14:textId="13AF5AF9" w:rsidR="001611D7" w:rsidRPr="001611D7" w:rsidRDefault="001611D7" w:rsidP="001611D7">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611D7">
              <w:rPr>
                <w:rFonts w:ascii="Times New Roman" w:hAnsi="Times New Roman" w:cs="Times New Roman"/>
                <w:color w:val="000000"/>
                <w:sz w:val="24"/>
                <w:szCs w:val="24"/>
              </w:rPr>
              <w:t>4,926</w:t>
            </w:r>
          </w:p>
        </w:tc>
        <w:tc>
          <w:tcPr>
            <w:tcW w:w="632" w:type="pct"/>
            <w:noWrap/>
          </w:tcPr>
          <w:p w14:paraId="2E2AF6BD" w14:textId="4941B45C" w:rsidR="001611D7" w:rsidRPr="001611D7" w:rsidRDefault="001611D7" w:rsidP="001611D7">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611D7">
              <w:rPr>
                <w:rFonts w:ascii="Times New Roman" w:hAnsi="Times New Roman" w:cs="Times New Roman"/>
                <w:color w:val="000000"/>
                <w:sz w:val="24"/>
                <w:szCs w:val="24"/>
              </w:rPr>
              <w:t>4,882</w:t>
            </w:r>
          </w:p>
        </w:tc>
        <w:tc>
          <w:tcPr>
            <w:tcW w:w="632" w:type="pct"/>
            <w:noWrap/>
          </w:tcPr>
          <w:p w14:paraId="41486A21" w14:textId="78B10635" w:rsidR="001611D7" w:rsidRPr="001611D7" w:rsidRDefault="001611D7" w:rsidP="001611D7">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611D7">
              <w:rPr>
                <w:rFonts w:ascii="Times New Roman" w:hAnsi="Times New Roman" w:cs="Times New Roman"/>
                <w:color w:val="000000"/>
                <w:sz w:val="24"/>
                <w:szCs w:val="24"/>
              </w:rPr>
              <w:t>4,898</w:t>
            </w:r>
          </w:p>
        </w:tc>
        <w:tc>
          <w:tcPr>
            <w:tcW w:w="630" w:type="pct"/>
            <w:noWrap/>
          </w:tcPr>
          <w:p w14:paraId="121C5A0B" w14:textId="77777777" w:rsidR="001611D7" w:rsidRPr="001611D7" w:rsidRDefault="001611D7" w:rsidP="001611D7">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1611D7" w:rsidRPr="001611D7" w14:paraId="1A381A2A" w14:textId="77777777" w:rsidTr="008C7A44">
        <w:trPr>
          <w:trHeight w:val="227"/>
        </w:trPr>
        <w:tc>
          <w:tcPr>
            <w:cnfStyle w:val="001000000000" w:firstRow="0" w:lastRow="0" w:firstColumn="1" w:lastColumn="0" w:oddVBand="0" w:evenVBand="0" w:oddHBand="0" w:evenHBand="0" w:firstRowFirstColumn="0" w:firstRowLastColumn="0" w:lastRowFirstColumn="0" w:lastRowLastColumn="0"/>
            <w:tcW w:w="1842" w:type="pct"/>
            <w:noWrap/>
          </w:tcPr>
          <w:p w14:paraId="023FB37F" w14:textId="163F5F48" w:rsidR="001611D7" w:rsidRPr="001611D7" w:rsidRDefault="001611D7" w:rsidP="001611D7">
            <w:pPr>
              <w:jc w:val="both"/>
              <w:rPr>
                <w:rFonts w:ascii="Times New Roman" w:hAnsi="Times New Roman" w:cs="Times New Roman"/>
                <w:color w:val="000000"/>
                <w:sz w:val="24"/>
                <w:szCs w:val="24"/>
              </w:rPr>
            </w:pPr>
            <w:r w:rsidRPr="001611D7">
              <w:rPr>
                <w:rFonts w:ascii="Times New Roman" w:hAnsi="Times New Roman" w:cs="Times New Roman"/>
                <w:color w:val="000000"/>
                <w:sz w:val="24"/>
                <w:szCs w:val="24"/>
              </w:rPr>
              <w:t>Revenu faible et intermédiaire</w:t>
            </w:r>
          </w:p>
        </w:tc>
        <w:tc>
          <w:tcPr>
            <w:tcW w:w="632" w:type="pct"/>
            <w:noWrap/>
          </w:tcPr>
          <w:p w14:paraId="60D5B580" w14:textId="3A4828D3" w:rsidR="001611D7" w:rsidRPr="001611D7" w:rsidRDefault="001611D7" w:rsidP="001611D7">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611D7">
              <w:rPr>
                <w:rFonts w:ascii="Times New Roman" w:hAnsi="Times New Roman" w:cs="Times New Roman"/>
                <w:color w:val="000000"/>
                <w:sz w:val="24"/>
                <w:szCs w:val="24"/>
              </w:rPr>
              <w:t>3,824</w:t>
            </w:r>
          </w:p>
        </w:tc>
        <w:tc>
          <w:tcPr>
            <w:tcW w:w="632" w:type="pct"/>
            <w:noWrap/>
          </w:tcPr>
          <w:p w14:paraId="01A0C958" w14:textId="7D52ED02" w:rsidR="001611D7" w:rsidRPr="001611D7" w:rsidRDefault="001611D7" w:rsidP="001611D7">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611D7">
              <w:rPr>
                <w:rFonts w:ascii="Times New Roman" w:hAnsi="Times New Roman" w:cs="Times New Roman"/>
                <w:color w:val="000000"/>
                <w:sz w:val="24"/>
                <w:szCs w:val="24"/>
              </w:rPr>
              <w:t>3,803</w:t>
            </w:r>
          </w:p>
        </w:tc>
        <w:tc>
          <w:tcPr>
            <w:tcW w:w="632" w:type="pct"/>
            <w:noWrap/>
          </w:tcPr>
          <w:p w14:paraId="1058F749" w14:textId="715B5511" w:rsidR="001611D7" w:rsidRPr="001611D7" w:rsidRDefault="001611D7" w:rsidP="001611D7">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611D7">
              <w:rPr>
                <w:rFonts w:ascii="Times New Roman" w:hAnsi="Times New Roman" w:cs="Times New Roman"/>
                <w:color w:val="000000"/>
                <w:sz w:val="24"/>
                <w:szCs w:val="24"/>
              </w:rPr>
              <w:t>3,920</w:t>
            </w:r>
          </w:p>
        </w:tc>
        <w:tc>
          <w:tcPr>
            <w:tcW w:w="632" w:type="pct"/>
            <w:noWrap/>
          </w:tcPr>
          <w:p w14:paraId="4013557B" w14:textId="57DB6A61" w:rsidR="001611D7" w:rsidRPr="001611D7" w:rsidRDefault="001611D7" w:rsidP="001611D7">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611D7">
              <w:rPr>
                <w:rFonts w:ascii="Times New Roman" w:hAnsi="Times New Roman" w:cs="Times New Roman"/>
                <w:color w:val="000000"/>
                <w:sz w:val="24"/>
                <w:szCs w:val="24"/>
              </w:rPr>
              <w:t>3,7142</w:t>
            </w:r>
          </w:p>
        </w:tc>
        <w:tc>
          <w:tcPr>
            <w:tcW w:w="630" w:type="pct"/>
            <w:noWrap/>
          </w:tcPr>
          <w:p w14:paraId="40C32A3C" w14:textId="178CF929" w:rsidR="001611D7" w:rsidRPr="001611D7" w:rsidRDefault="001611D7" w:rsidP="001611D7">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611D7">
              <w:rPr>
                <w:rFonts w:ascii="Times New Roman" w:hAnsi="Times New Roman" w:cs="Times New Roman"/>
                <w:color w:val="000000"/>
                <w:sz w:val="24"/>
                <w:szCs w:val="24"/>
              </w:rPr>
              <w:t>3,663</w:t>
            </w:r>
          </w:p>
        </w:tc>
      </w:tr>
    </w:tbl>
    <w:p w14:paraId="4CD31A94" w14:textId="77777777" w:rsidR="00AA7785" w:rsidRDefault="00AA7785" w:rsidP="00EC2BA8">
      <w:pPr>
        <w:jc w:val="both"/>
        <w:rPr>
          <w:rFonts w:ascii="Times New Roman" w:hAnsi="Times New Roman" w:cs="Times New Roman"/>
          <w:sz w:val="28"/>
          <w:szCs w:val="28"/>
        </w:rPr>
      </w:pPr>
    </w:p>
    <w:p w14:paraId="4B16C57C" w14:textId="33C2334D" w:rsidR="00AA7785" w:rsidRDefault="001611D7" w:rsidP="00EC2BA8">
      <w:pPr>
        <w:jc w:val="both"/>
        <w:rPr>
          <w:rFonts w:ascii="Times New Roman" w:hAnsi="Times New Roman" w:cs="Times New Roman"/>
          <w:sz w:val="28"/>
          <w:szCs w:val="28"/>
        </w:rPr>
      </w:pPr>
      <w:r w:rsidRPr="00013AB9">
        <w:rPr>
          <w:rFonts w:ascii="Times New Roman" w:hAnsi="Times New Roman" w:cs="Times New Roman"/>
          <w:sz w:val="28"/>
          <w:szCs w:val="28"/>
        </w:rPr>
        <w:t>Quels commentaires et analyses pouvez-vous en faire ?</w:t>
      </w:r>
    </w:p>
    <w:p w14:paraId="36389BEC" w14:textId="34C28992" w:rsidR="00186ABD" w:rsidRDefault="00186ABD">
      <w:pPr>
        <w:rPr>
          <w:rFonts w:ascii="Times New Roman" w:hAnsi="Times New Roman" w:cs="Times New Roman"/>
          <w:sz w:val="28"/>
          <w:szCs w:val="28"/>
        </w:rPr>
      </w:pPr>
      <w:r>
        <w:rPr>
          <w:rFonts w:ascii="Times New Roman" w:hAnsi="Times New Roman" w:cs="Times New Roman"/>
          <w:sz w:val="28"/>
          <w:szCs w:val="28"/>
        </w:rPr>
        <w:br w:type="page"/>
      </w:r>
    </w:p>
    <w:p w14:paraId="262481E7" w14:textId="0FC7EB41" w:rsidR="00186ABD" w:rsidRPr="003767F4" w:rsidRDefault="003767F4" w:rsidP="00EC2BA8">
      <w:pPr>
        <w:jc w:val="both"/>
        <w:rPr>
          <w:rFonts w:ascii="Times New Roman" w:hAnsi="Times New Roman" w:cs="Times New Roman"/>
          <w:b/>
          <w:bCs/>
          <w:sz w:val="28"/>
          <w:szCs w:val="28"/>
        </w:rPr>
      </w:pPr>
      <w:r w:rsidRPr="003767F4">
        <w:rPr>
          <w:rFonts w:ascii="Times New Roman" w:hAnsi="Times New Roman" w:cs="Times New Roman"/>
          <w:b/>
          <w:bCs/>
          <w:sz w:val="28"/>
          <w:szCs w:val="28"/>
        </w:rPr>
        <w:lastRenderedPageBreak/>
        <w:t>TAF</w:t>
      </w:r>
      <w:r w:rsidR="00186ABD" w:rsidRPr="003767F4">
        <w:rPr>
          <w:rFonts w:ascii="Times New Roman" w:hAnsi="Times New Roman" w:cs="Times New Roman"/>
          <w:b/>
          <w:bCs/>
          <w:sz w:val="28"/>
          <w:szCs w:val="28"/>
        </w:rPr>
        <w:t xml:space="preserve"> 2 :</w:t>
      </w:r>
    </w:p>
    <w:p w14:paraId="43005938" w14:textId="1E4DB8FD" w:rsidR="00186ABD" w:rsidRDefault="00186ABD" w:rsidP="00EC2BA8">
      <w:pPr>
        <w:jc w:val="both"/>
        <w:rPr>
          <w:rFonts w:ascii="Times New Roman" w:hAnsi="Times New Roman" w:cs="Times New Roman"/>
          <w:sz w:val="28"/>
          <w:szCs w:val="28"/>
        </w:rPr>
      </w:pPr>
      <w:r>
        <w:rPr>
          <w:rFonts w:ascii="Times New Roman" w:hAnsi="Times New Roman" w:cs="Times New Roman"/>
          <w:sz w:val="28"/>
          <w:szCs w:val="28"/>
        </w:rPr>
        <w:t>Le tableau ci-dessous fournit des informations sur</w:t>
      </w:r>
      <w:r w:rsidR="00060A0D">
        <w:rPr>
          <w:rFonts w:ascii="Times New Roman" w:hAnsi="Times New Roman" w:cs="Times New Roman"/>
          <w:sz w:val="28"/>
          <w:szCs w:val="28"/>
        </w:rPr>
        <w:t xml:space="preserve"> les données macroéconomiques et les dépenses d’éducation d’</w:t>
      </w:r>
      <w:r>
        <w:rPr>
          <w:rFonts w:ascii="Times New Roman" w:hAnsi="Times New Roman" w:cs="Times New Roman"/>
          <w:sz w:val="28"/>
          <w:szCs w:val="28"/>
        </w:rPr>
        <w:t xml:space="preserve">un pays </w:t>
      </w:r>
      <w:r w:rsidR="00060A0D">
        <w:rPr>
          <w:rFonts w:ascii="Times New Roman" w:hAnsi="Times New Roman" w:cs="Times New Roman"/>
          <w:sz w:val="28"/>
          <w:szCs w:val="28"/>
        </w:rPr>
        <w:t>subsaharien</w:t>
      </w:r>
      <w:r>
        <w:rPr>
          <w:rFonts w:ascii="Times New Roman" w:hAnsi="Times New Roman" w:cs="Times New Roman"/>
          <w:sz w:val="28"/>
          <w:szCs w:val="28"/>
        </w:rPr>
        <w:t xml:space="preserve"> au cours des cinq dernières années.</w:t>
      </w:r>
      <w:r w:rsidR="00060A0D">
        <w:rPr>
          <w:rFonts w:ascii="Times New Roman" w:hAnsi="Times New Roman" w:cs="Times New Roman"/>
          <w:sz w:val="28"/>
          <w:szCs w:val="28"/>
        </w:rPr>
        <w:t xml:space="preserve"> Ces données sont fournies en prévision et en exécution sauf pour l’année courante, en milliards de FCFA.</w:t>
      </w:r>
    </w:p>
    <w:p w14:paraId="1E2D1230" w14:textId="77A5D134" w:rsidR="00186ABD" w:rsidRDefault="00186ABD" w:rsidP="00EC2BA8">
      <w:pPr>
        <w:jc w:val="both"/>
        <w:rPr>
          <w:rFonts w:ascii="Times New Roman" w:hAnsi="Times New Roman" w:cs="Times New Roman"/>
          <w:sz w:val="28"/>
          <w:szCs w:val="28"/>
        </w:rPr>
      </w:pPr>
      <w:r>
        <w:rPr>
          <w:rFonts w:ascii="Times New Roman" w:hAnsi="Times New Roman" w:cs="Times New Roman"/>
          <w:sz w:val="28"/>
          <w:szCs w:val="28"/>
        </w:rPr>
        <w:t>Calculer en dotation et en exécution si possible :</w:t>
      </w:r>
    </w:p>
    <w:p w14:paraId="7D0549A6" w14:textId="78A19B32" w:rsidR="00EC778C" w:rsidRPr="00EA2CB0" w:rsidRDefault="00060A0D" w:rsidP="00EC778C">
      <w:pPr>
        <w:pStyle w:val="Paragraphedeliste"/>
        <w:numPr>
          <w:ilvl w:val="0"/>
          <w:numId w:val="1"/>
        </w:numPr>
        <w:tabs>
          <w:tab w:val="left" w:pos="4452"/>
        </w:tabs>
        <w:rPr>
          <w:rFonts w:ascii="Times New Roman" w:hAnsi="Times New Roman" w:cs="Times New Roman"/>
          <w:sz w:val="28"/>
          <w:szCs w:val="28"/>
        </w:rPr>
      </w:pPr>
      <w:r w:rsidRPr="00EA2CB0">
        <w:rPr>
          <w:rFonts w:ascii="Times New Roman" w:hAnsi="Times New Roman" w:cs="Times New Roman"/>
          <w:sz w:val="28"/>
          <w:szCs w:val="28"/>
        </w:rPr>
        <w:t>Les d</w:t>
      </w:r>
      <w:r w:rsidR="00186ABD" w:rsidRPr="00EA2CB0">
        <w:rPr>
          <w:rFonts w:ascii="Times New Roman" w:hAnsi="Times New Roman" w:cs="Times New Roman"/>
          <w:sz w:val="28"/>
          <w:szCs w:val="28"/>
        </w:rPr>
        <w:t xml:space="preserve">épenses courantes consacrées à l'éducation en </w:t>
      </w:r>
      <w:r w:rsidR="00EC778C" w:rsidRPr="00EA2CB0">
        <w:rPr>
          <w:rFonts w:ascii="Times New Roman" w:hAnsi="Times New Roman" w:cs="Times New Roman"/>
          <w:sz w:val="28"/>
          <w:szCs w:val="28"/>
        </w:rPr>
        <w:t>pourcentage</w:t>
      </w:r>
      <w:r w:rsidR="00186ABD" w:rsidRPr="00EA2CB0">
        <w:rPr>
          <w:rFonts w:ascii="Times New Roman" w:hAnsi="Times New Roman" w:cs="Times New Roman"/>
          <w:sz w:val="28"/>
          <w:szCs w:val="28"/>
        </w:rPr>
        <w:t xml:space="preserve"> des </w:t>
      </w:r>
      <w:r w:rsidRPr="00EA2CB0">
        <w:rPr>
          <w:rFonts w:ascii="Times New Roman" w:hAnsi="Times New Roman" w:cs="Times New Roman"/>
          <w:sz w:val="28"/>
          <w:szCs w:val="28"/>
        </w:rPr>
        <w:t>d</w:t>
      </w:r>
      <w:r w:rsidR="00186ABD" w:rsidRPr="00EA2CB0">
        <w:rPr>
          <w:rFonts w:ascii="Times New Roman" w:hAnsi="Times New Roman" w:cs="Times New Roman"/>
          <w:sz w:val="28"/>
          <w:szCs w:val="28"/>
        </w:rPr>
        <w:t>épenses publiques courantes, incluant le service de la dette)</w:t>
      </w:r>
    </w:p>
    <w:p w14:paraId="65E07D7E" w14:textId="066C70D9" w:rsidR="00EC778C" w:rsidRPr="00EA2CB0" w:rsidRDefault="00060A0D" w:rsidP="00EC778C">
      <w:pPr>
        <w:pStyle w:val="Paragraphedeliste"/>
        <w:numPr>
          <w:ilvl w:val="0"/>
          <w:numId w:val="1"/>
        </w:numPr>
        <w:tabs>
          <w:tab w:val="left" w:pos="4452"/>
        </w:tabs>
        <w:rPr>
          <w:rFonts w:ascii="Times New Roman" w:hAnsi="Times New Roman" w:cs="Times New Roman"/>
          <w:sz w:val="28"/>
          <w:szCs w:val="28"/>
        </w:rPr>
      </w:pPr>
      <w:r w:rsidRPr="00EA2CB0">
        <w:rPr>
          <w:rFonts w:ascii="Times New Roman" w:hAnsi="Times New Roman" w:cs="Times New Roman"/>
          <w:sz w:val="28"/>
          <w:szCs w:val="28"/>
        </w:rPr>
        <w:t>Les d</w:t>
      </w:r>
      <w:r w:rsidR="00EC778C" w:rsidRPr="00EA2CB0">
        <w:rPr>
          <w:rFonts w:ascii="Times New Roman" w:hAnsi="Times New Roman" w:cs="Times New Roman"/>
          <w:sz w:val="28"/>
          <w:szCs w:val="28"/>
        </w:rPr>
        <w:t xml:space="preserve">épenses courantes consacrées à l'éducation en pourcentage des </w:t>
      </w:r>
      <w:r w:rsidR="00EA2CB0" w:rsidRPr="00EA2CB0">
        <w:rPr>
          <w:rFonts w:ascii="Times New Roman" w:hAnsi="Times New Roman" w:cs="Times New Roman"/>
          <w:sz w:val="28"/>
          <w:szCs w:val="28"/>
        </w:rPr>
        <w:t>d</w:t>
      </w:r>
      <w:r w:rsidR="00186ABD" w:rsidRPr="00EA2CB0">
        <w:rPr>
          <w:rFonts w:ascii="Times New Roman" w:hAnsi="Times New Roman" w:cs="Times New Roman"/>
          <w:sz w:val="28"/>
          <w:szCs w:val="28"/>
        </w:rPr>
        <w:t>épenses publiques courantes hors service de la dette)</w:t>
      </w:r>
    </w:p>
    <w:p w14:paraId="33CBDD6D" w14:textId="09D07896" w:rsidR="00EC778C" w:rsidRPr="00EA2CB0" w:rsidRDefault="00EA2CB0" w:rsidP="00EC778C">
      <w:pPr>
        <w:pStyle w:val="Paragraphedeliste"/>
        <w:numPr>
          <w:ilvl w:val="0"/>
          <w:numId w:val="1"/>
        </w:numPr>
        <w:tabs>
          <w:tab w:val="left" w:pos="4452"/>
        </w:tabs>
        <w:rPr>
          <w:rFonts w:ascii="Times New Roman" w:hAnsi="Times New Roman" w:cs="Times New Roman"/>
          <w:sz w:val="28"/>
          <w:szCs w:val="28"/>
        </w:rPr>
      </w:pPr>
      <w:r w:rsidRPr="00EA2CB0">
        <w:rPr>
          <w:rFonts w:ascii="Times New Roman" w:hAnsi="Times New Roman" w:cs="Times New Roman"/>
          <w:sz w:val="28"/>
          <w:szCs w:val="28"/>
        </w:rPr>
        <w:t>Les d</w:t>
      </w:r>
      <w:r w:rsidR="00186ABD" w:rsidRPr="00EA2CB0">
        <w:rPr>
          <w:rFonts w:ascii="Times New Roman" w:hAnsi="Times New Roman" w:cs="Times New Roman"/>
          <w:sz w:val="28"/>
          <w:szCs w:val="28"/>
        </w:rPr>
        <w:t>épenses totales consacrées à l'éducation</w:t>
      </w:r>
      <w:r w:rsidR="00EC778C" w:rsidRPr="00EA2CB0">
        <w:rPr>
          <w:rFonts w:ascii="Times New Roman" w:hAnsi="Times New Roman" w:cs="Times New Roman"/>
          <w:sz w:val="28"/>
          <w:szCs w:val="28"/>
        </w:rPr>
        <w:t xml:space="preserve"> en pourcentage des </w:t>
      </w:r>
      <w:r w:rsidR="00186ABD" w:rsidRPr="00EA2CB0">
        <w:rPr>
          <w:rFonts w:ascii="Times New Roman" w:hAnsi="Times New Roman" w:cs="Times New Roman"/>
          <w:sz w:val="28"/>
          <w:szCs w:val="28"/>
        </w:rPr>
        <w:t>Dépenses publiques, incluant le service de la dette)</w:t>
      </w:r>
    </w:p>
    <w:p w14:paraId="2797F497" w14:textId="29F4CE9D" w:rsidR="00EC778C" w:rsidRPr="00EA2CB0" w:rsidRDefault="00EA2CB0" w:rsidP="00EC778C">
      <w:pPr>
        <w:pStyle w:val="Paragraphedeliste"/>
        <w:numPr>
          <w:ilvl w:val="0"/>
          <w:numId w:val="1"/>
        </w:numPr>
        <w:tabs>
          <w:tab w:val="left" w:pos="4452"/>
        </w:tabs>
        <w:rPr>
          <w:rFonts w:ascii="Times New Roman" w:hAnsi="Times New Roman" w:cs="Times New Roman"/>
          <w:sz w:val="28"/>
          <w:szCs w:val="28"/>
        </w:rPr>
      </w:pPr>
      <w:r w:rsidRPr="00EA2CB0">
        <w:rPr>
          <w:rFonts w:ascii="Times New Roman" w:hAnsi="Times New Roman" w:cs="Times New Roman"/>
          <w:sz w:val="28"/>
          <w:szCs w:val="28"/>
        </w:rPr>
        <w:t>Les d</w:t>
      </w:r>
      <w:r w:rsidR="00EC778C" w:rsidRPr="00EA2CB0">
        <w:rPr>
          <w:rFonts w:ascii="Times New Roman" w:hAnsi="Times New Roman" w:cs="Times New Roman"/>
          <w:sz w:val="28"/>
          <w:szCs w:val="28"/>
        </w:rPr>
        <w:t xml:space="preserve">épenses totales consacrées à l'éducation en pourcentage </w:t>
      </w:r>
      <w:r w:rsidRPr="00EA2CB0">
        <w:rPr>
          <w:rFonts w:ascii="Times New Roman" w:hAnsi="Times New Roman" w:cs="Times New Roman"/>
          <w:sz w:val="28"/>
          <w:szCs w:val="28"/>
        </w:rPr>
        <w:t>des d</w:t>
      </w:r>
      <w:r w:rsidR="00186ABD" w:rsidRPr="00EA2CB0">
        <w:rPr>
          <w:rFonts w:ascii="Times New Roman" w:hAnsi="Times New Roman" w:cs="Times New Roman"/>
          <w:sz w:val="28"/>
          <w:szCs w:val="28"/>
        </w:rPr>
        <w:t>épenses publiques, hors service de la dette)</w:t>
      </w:r>
    </w:p>
    <w:p w14:paraId="7C9287A6" w14:textId="6596F75D" w:rsidR="00186ABD" w:rsidRPr="00EA2CB0" w:rsidRDefault="00EA2CB0" w:rsidP="00EC778C">
      <w:pPr>
        <w:pStyle w:val="Paragraphedeliste"/>
        <w:numPr>
          <w:ilvl w:val="0"/>
          <w:numId w:val="1"/>
        </w:numPr>
        <w:tabs>
          <w:tab w:val="left" w:pos="4452"/>
        </w:tabs>
        <w:rPr>
          <w:rFonts w:ascii="Times New Roman" w:hAnsi="Times New Roman" w:cs="Times New Roman"/>
          <w:sz w:val="28"/>
          <w:szCs w:val="28"/>
        </w:rPr>
      </w:pPr>
      <w:r w:rsidRPr="00EA2CB0">
        <w:rPr>
          <w:rFonts w:ascii="Times New Roman" w:hAnsi="Times New Roman" w:cs="Times New Roman"/>
          <w:sz w:val="28"/>
          <w:szCs w:val="28"/>
        </w:rPr>
        <w:t>Les d</w:t>
      </w:r>
      <w:r w:rsidR="00EC778C" w:rsidRPr="00EA2CB0">
        <w:rPr>
          <w:rFonts w:ascii="Times New Roman" w:hAnsi="Times New Roman" w:cs="Times New Roman"/>
          <w:sz w:val="28"/>
          <w:szCs w:val="28"/>
        </w:rPr>
        <w:t xml:space="preserve">épenses totales consacrées à l'éducation en pourcentage </w:t>
      </w:r>
      <w:r w:rsidR="00186ABD" w:rsidRPr="00EA2CB0">
        <w:rPr>
          <w:rFonts w:ascii="Times New Roman" w:hAnsi="Times New Roman" w:cs="Times New Roman"/>
          <w:sz w:val="28"/>
          <w:szCs w:val="28"/>
        </w:rPr>
        <w:t>du PIB</w:t>
      </w:r>
      <w:r w:rsidR="00EC778C" w:rsidRPr="00EA2CB0">
        <w:rPr>
          <w:rFonts w:ascii="Times New Roman" w:hAnsi="Times New Roman" w:cs="Times New Roman"/>
          <w:sz w:val="28"/>
          <w:szCs w:val="28"/>
        </w:rPr>
        <w:t>.</w:t>
      </w:r>
    </w:p>
    <w:p w14:paraId="260BCC21" w14:textId="77777777" w:rsidR="003767F4" w:rsidRPr="00EC778C" w:rsidRDefault="003767F4" w:rsidP="003767F4">
      <w:pPr>
        <w:pStyle w:val="Paragraphedeliste"/>
        <w:tabs>
          <w:tab w:val="left" w:pos="4452"/>
        </w:tabs>
        <w:ind w:left="473"/>
        <w:rPr>
          <w:rFonts w:ascii="Times New Roman" w:hAnsi="Times New Roman" w:cs="Times New Roman"/>
          <w:sz w:val="28"/>
          <w:szCs w:val="28"/>
        </w:rPr>
      </w:pPr>
    </w:p>
    <w:p w14:paraId="2F579E52" w14:textId="3142814F" w:rsidR="00EC778C" w:rsidRDefault="00EC778C">
      <w:pPr>
        <w:rPr>
          <w:rFonts w:ascii="Times New Roman" w:hAnsi="Times New Roman" w:cs="Times New Roman"/>
          <w:sz w:val="28"/>
          <w:szCs w:val="28"/>
        </w:rPr>
      </w:pPr>
      <w:r>
        <w:rPr>
          <w:rFonts w:ascii="Times New Roman" w:hAnsi="Times New Roman" w:cs="Times New Roman"/>
          <w:sz w:val="28"/>
          <w:szCs w:val="28"/>
        </w:rPr>
        <w:br w:type="page"/>
      </w:r>
    </w:p>
    <w:p w14:paraId="55D974A1" w14:textId="77777777" w:rsidR="00EC778C" w:rsidRDefault="00EC778C" w:rsidP="00EC2BA8">
      <w:pPr>
        <w:jc w:val="both"/>
        <w:rPr>
          <w:rFonts w:ascii="Times New Roman" w:hAnsi="Times New Roman" w:cs="Times New Roman"/>
          <w:sz w:val="28"/>
          <w:szCs w:val="28"/>
        </w:rPr>
        <w:sectPr w:rsidR="00EC778C">
          <w:footerReference w:type="default" r:id="rId8"/>
          <w:pgSz w:w="11906" w:h="16838"/>
          <w:pgMar w:top="1417" w:right="1417" w:bottom="1417" w:left="1417" w:header="708" w:footer="708" w:gutter="0"/>
          <w:cols w:space="708"/>
          <w:docGrid w:linePitch="360"/>
        </w:sectPr>
      </w:pPr>
    </w:p>
    <w:p w14:paraId="58B7EA95" w14:textId="63307D8F" w:rsidR="00186ABD" w:rsidRDefault="00EC778C" w:rsidP="00EC2BA8">
      <w:pPr>
        <w:jc w:val="both"/>
        <w:rPr>
          <w:rFonts w:ascii="Times New Roman" w:hAnsi="Times New Roman" w:cs="Times New Roman"/>
          <w:sz w:val="28"/>
          <w:szCs w:val="28"/>
        </w:rPr>
      </w:pPr>
      <w:r>
        <w:rPr>
          <w:rFonts w:ascii="Times New Roman" w:hAnsi="Times New Roman" w:cs="Times New Roman"/>
          <w:sz w:val="28"/>
          <w:szCs w:val="28"/>
        </w:rPr>
        <w:lastRenderedPageBreak/>
        <w:t>Tableau de financement du SEF</w:t>
      </w:r>
      <w:r w:rsidR="00060A0D">
        <w:rPr>
          <w:rFonts w:ascii="Times New Roman" w:hAnsi="Times New Roman" w:cs="Times New Roman"/>
          <w:sz w:val="28"/>
          <w:szCs w:val="28"/>
        </w:rPr>
        <w:t xml:space="preserve"> (En milliards de FCFA)</w:t>
      </w:r>
    </w:p>
    <w:tbl>
      <w:tblPr>
        <w:tblStyle w:val="TableauGrille2-Accentuation1"/>
        <w:tblW w:w="45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0"/>
        <w:gridCol w:w="1293"/>
        <w:gridCol w:w="1293"/>
        <w:gridCol w:w="1292"/>
        <w:gridCol w:w="1292"/>
        <w:gridCol w:w="1292"/>
        <w:gridCol w:w="1292"/>
        <w:gridCol w:w="1282"/>
      </w:tblGrid>
      <w:tr w:rsidR="00F3349F" w:rsidRPr="00F3349F" w14:paraId="235F5748" w14:textId="77777777" w:rsidTr="00CA3569">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41" w:type="pct"/>
            <w:vMerge w:val="restart"/>
            <w:tcBorders>
              <w:top w:val="none" w:sz="0" w:space="0" w:color="auto"/>
              <w:bottom w:val="none" w:sz="0" w:space="0" w:color="auto"/>
              <w:right w:val="none" w:sz="0" w:space="0" w:color="auto"/>
            </w:tcBorders>
            <w:hideMark/>
          </w:tcPr>
          <w:p w14:paraId="3D48ABDC" w14:textId="463FA9E7" w:rsidR="00060A0D" w:rsidRPr="00F3349F" w:rsidRDefault="00060A0D" w:rsidP="00060A0D">
            <w:pPr>
              <w:jc w:val="center"/>
              <w:rPr>
                <w:rFonts w:ascii="Garamond" w:eastAsia="Times New Roman" w:hAnsi="Garamond" w:cs="Calibri"/>
                <w:b w:val="0"/>
                <w:bCs w:val="0"/>
                <w:lang w:eastAsia="fr-FR"/>
              </w:rPr>
            </w:pPr>
            <w:r w:rsidRPr="00060A0D">
              <w:rPr>
                <w:rFonts w:ascii="Garamond" w:eastAsia="Times New Roman" w:hAnsi="Garamond" w:cs="Calibri"/>
                <w:lang w:eastAsia="fr-FR"/>
              </w:rPr>
              <w:t> </w:t>
            </w:r>
            <w:r w:rsidRPr="00F3349F">
              <w:rPr>
                <w:rFonts w:ascii="Garamond" w:eastAsia="Times New Roman" w:hAnsi="Garamond" w:cs="Calibri"/>
                <w:lang w:eastAsia="fr-FR"/>
              </w:rPr>
              <w:t>Rubriques</w:t>
            </w:r>
          </w:p>
          <w:p w14:paraId="2DDCED85" w14:textId="27F5D963" w:rsidR="00060A0D" w:rsidRPr="00060A0D" w:rsidRDefault="00060A0D" w:rsidP="00060A0D">
            <w:pPr>
              <w:jc w:val="center"/>
              <w:rPr>
                <w:rFonts w:ascii="Garamond" w:eastAsia="Times New Roman" w:hAnsi="Garamond" w:cs="Calibri"/>
                <w:b w:val="0"/>
                <w:bCs w:val="0"/>
                <w:lang w:eastAsia="fr-FR"/>
              </w:rPr>
            </w:pPr>
            <w:r w:rsidRPr="00060A0D">
              <w:rPr>
                <w:rFonts w:ascii="Garamond" w:eastAsia="Times New Roman" w:hAnsi="Garamond" w:cs="Calibri"/>
                <w:lang w:eastAsia="fr-FR"/>
              </w:rPr>
              <w:t> </w:t>
            </w:r>
          </w:p>
        </w:tc>
        <w:tc>
          <w:tcPr>
            <w:tcW w:w="1018" w:type="pct"/>
            <w:gridSpan w:val="2"/>
            <w:tcBorders>
              <w:top w:val="none" w:sz="0" w:space="0" w:color="auto"/>
              <w:left w:val="none" w:sz="0" w:space="0" w:color="auto"/>
              <w:bottom w:val="none" w:sz="0" w:space="0" w:color="auto"/>
              <w:right w:val="none" w:sz="0" w:space="0" w:color="auto"/>
            </w:tcBorders>
            <w:noWrap/>
            <w:hideMark/>
          </w:tcPr>
          <w:p w14:paraId="0F90C2E3" w14:textId="77777777" w:rsidR="00060A0D" w:rsidRPr="00060A0D" w:rsidRDefault="00060A0D" w:rsidP="00060A0D">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Calibri"/>
                <w:b w:val="0"/>
                <w:bCs w:val="0"/>
                <w:lang w:eastAsia="fr-FR"/>
              </w:rPr>
            </w:pPr>
            <w:r w:rsidRPr="00060A0D">
              <w:rPr>
                <w:rFonts w:ascii="Garamond" w:eastAsia="Times New Roman" w:hAnsi="Garamond" w:cs="Calibri"/>
                <w:lang w:eastAsia="fr-FR"/>
              </w:rPr>
              <w:t>2019</w:t>
            </w:r>
          </w:p>
        </w:tc>
        <w:tc>
          <w:tcPr>
            <w:tcW w:w="1018" w:type="pct"/>
            <w:gridSpan w:val="2"/>
            <w:tcBorders>
              <w:top w:val="none" w:sz="0" w:space="0" w:color="auto"/>
              <w:left w:val="none" w:sz="0" w:space="0" w:color="auto"/>
              <w:bottom w:val="none" w:sz="0" w:space="0" w:color="auto"/>
              <w:right w:val="none" w:sz="0" w:space="0" w:color="auto"/>
            </w:tcBorders>
            <w:noWrap/>
            <w:hideMark/>
          </w:tcPr>
          <w:p w14:paraId="3F914173" w14:textId="77777777" w:rsidR="00060A0D" w:rsidRPr="00060A0D" w:rsidRDefault="00060A0D" w:rsidP="00060A0D">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Calibri"/>
                <w:b w:val="0"/>
                <w:bCs w:val="0"/>
                <w:lang w:eastAsia="fr-FR"/>
              </w:rPr>
            </w:pPr>
            <w:r w:rsidRPr="00060A0D">
              <w:rPr>
                <w:rFonts w:ascii="Garamond" w:eastAsia="Times New Roman" w:hAnsi="Garamond" w:cs="Calibri"/>
                <w:lang w:eastAsia="fr-FR"/>
              </w:rPr>
              <w:t>2020</w:t>
            </w:r>
          </w:p>
        </w:tc>
        <w:tc>
          <w:tcPr>
            <w:tcW w:w="1018" w:type="pct"/>
            <w:gridSpan w:val="2"/>
            <w:tcBorders>
              <w:top w:val="none" w:sz="0" w:space="0" w:color="auto"/>
              <w:left w:val="none" w:sz="0" w:space="0" w:color="auto"/>
              <w:bottom w:val="none" w:sz="0" w:space="0" w:color="auto"/>
              <w:right w:val="none" w:sz="0" w:space="0" w:color="auto"/>
            </w:tcBorders>
            <w:noWrap/>
            <w:hideMark/>
          </w:tcPr>
          <w:p w14:paraId="4288C174" w14:textId="77777777" w:rsidR="00060A0D" w:rsidRPr="00060A0D" w:rsidRDefault="00060A0D" w:rsidP="00060A0D">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Calibri"/>
                <w:b w:val="0"/>
                <w:bCs w:val="0"/>
                <w:lang w:eastAsia="fr-FR"/>
              </w:rPr>
            </w:pPr>
            <w:r w:rsidRPr="00060A0D">
              <w:rPr>
                <w:rFonts w:ascii="Garamond" w:eastAsia="Times New Roman" w:hAnsi="Garamond" w:cs="Calibri"/>
                <w:lang w:eastAsia="fr-FR"/>
              </w:rPr>
              <w:t>2021</w:t>
            </w:r>
          </w:p>
        </w:tc>
        <w:tc>
          <w:tcPr>
            <w:tcW w:w="505" w:type="pct"/>
            <w:tcBorders>
              <w:top w:val="none" w:sz="0" w:space="0" w:color="auto"/>
              <w:left w:val="none" w:sz="0" w:space="0" w:color="auto"/>
              <w:bottom w:val="none" w:sz="0" w:space="0" w:color="auto"/>
            </w:tcBorders>
            <w:noWrap/>
            <w:hideMark/>
          </w:tcPr>
          <w:p w14:paraId="13724F78" w14:textId="77777777" w:rsidR="00060A0D" w:rsidRPr="00060A0D" w:rsidRDefault="00060A0D" w:rsidP="00060A0D">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Calibri"/>
                <w:b w:val="0"/>
                <w:bCs w:val="0"/>
                <w:lang w:eastAsia="fr-FR"/>
              </w:rPr>
            </w:pPr>
            <w:r w:rsidRPr="00060A0D">
              <w:rPr>
                <w:rFonts w:ascii="Garamond" w:eastAsia="Times New Roman" w:hAnsi="Garamond" w:cs="Calibri"/>
                <w:lang w:eastAsia="fr-FR"/>
              </w:rPr>
              <w:t>2022</w:t>
            </w:r>
          </w:p>
        </w:tc>
      </w:tr>
      <w:tr w:rsidR="00F3349F" w:rsidRPr="00F3349F" w14:paraId="74A78955" w14:textId="77777777" w:rsidTr="00CA356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41" w:type="pct"/>
            <w:vMerge/>
            <w:hideMark/>
          </w:tcPr>
          <w:p w14:paraId="04F246C1" w14:textId="3AB14249" w:rsidR="00060A0D" w:rsidRPr="00060A0D" w:rsidRDefault="00060A0D" w:rsidP="00060A0D">
            <w:pPr>
              <w:jc w:val="center"/>
              <w:rPr>
                <w:rFonts w:ascii="Garamond" w:eastAsia="Times New Roman" w:hAnsi="Garamond" w:cs="Calibri"/>
                <w:b w:val="0"/>
                <w:bCs w:val="0"/>
                <w:lang w:eastAsia="fr-FR"/>
              </w:rPr>
            </w:pPr>
          </w:p>
        </w:tc>
        <w:tc>
          <w:tcPr>
            <w:tcW w:w="509" w:type="pct"/>
            <w:noWrap/>
            <w:hideMark/>
          </w:tcPr>
          <w:p w14:paraId="5D9118C0" w14:textId="77777777" w:rsidR="00060A0D" w:rsidRPr="00060A0D" w:rsidRDefault="00060A0D" w:rsidP="00060A0D">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Calibri"/>
                <w:b/>
                <w:bCs/>
                <w:lang w:eastAsia="fr-FR"/>
              </w:rPr>
            </w:pPr>
            <w:proofErr w:type="spellStart"/>
            <w:r w:rsidRPr="00060A0D">
              <w:rPr>
                <w:rFonts w:ascii="Garamond" w:eastAsia="Times New Roman" w:hAnsi="Garamond" w:cs="Calibri"/>
                <w:b/>
                <w:bCs/>
                <w:lang w:eastAsia="fr-FR"/>
              </w:rPr>
              <w:t>prév</w:t>
            </w:r>
            <w:proofErr w:type="spellEnd"/>
          </w:p>
        </w:tc>
        <w:tc>
          <w:tcPr>
            <w:tcW w:w="509" w:type="pct"/>
            <w:noWrap/>
            <w:hideMark/>
          </w:tcPr>
          <w:p w14:paraId="226F7843" w14:textId="0F5394F2" w:rsidR="00060A0D" w:rsidRPr="00060A0D" w:rsidRDefault="00060A0D" w:rsidP="00060A0D">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Calibri"/>
                <w:b/>
                <w:bCs/>
                <w:lang w:eastAsia="fr-FR"/>
              </w:rPr>
            </w:pPr>
            <w:r w:rsidRPr="00060A0D">
              <w:rPr>
                <w:rFonts w:ascii="Garamond" w:eastAsia="Times New Roman" w:hAnsi="Garamond" w:cs="Calibri"/>
                <w:b/>
                <w:bCs/>
                <w:lang w:eastAsia="fr-FR"/>
              </w:rPr>
              <w:t>exécutée</w:t>
            </w:r>
          </w:p>
        </w:tc>
        <w:tc>
          <w:tcPr>
            <w:tcW w:w="509" w:type="pct"/>
            <w:noWrap/>
            <w:hideMark/>
          </w:tcPr>
          <w:p w14:paraId="29655525" w14:textId="77777777" w:rsidR="00060A0D" w:rsidRPr="00060A0D" w:rsidRDefault="00060A0D" w:rsidP="00060A0D">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Calibri"/>
                <w:b/>
                <w:bCs/>
                <w:lang w:eastAsia="fr-FR"/>
              </w:rPr>
            </w:pPr>
            <w:proofErr w:type="spellStart"/>
            <w:r w:rsidRPr="00060A0D">
              <w:rPr>
                <w:rFonts w:ascii="Garamond" w:eastAsia="Times New Roman" w:hAnsi="Garamond" w:cs="Calibri"/>
                <w:b/>
                <w:bCs/>
                <w:lang w:eastAsia="fr-FR"/>
              </w:rPr>
              <w:t>prév</w:t>
            </w:r>
            <w:proofErr w:type="spellEnd"/>
            <w:r w:rsidRPr="00060A0D">
              <w:rPr>
                <w:rFonts w:ascii="Garamond" w:eastAsia="Times New Roman" w:hAnsi="Garamond" w:cs="Calibri"/>
                <w:b/>
                <w:bCs/>
                <w:lang w:eastAsia="fr-FR"/>
              </w:rPr>
              <w:t>.</w:t>
            </w:r>
          </w:p>
        </w:tc>
        <w:tc>
          <w:tcPr>
            <w:tcW w:w="509" w:type="pct"/>
            <w:noWrap/>
            <w:hideMark/>
          </w:tcPr>
          <w:p w14:paraId="2F8025C3" w14:textId="1485C416" w:rsidR="00060A0D" w:rsidRPr="00060A0D" w:rsidRDefault="00060A0D" w:rsidP="00060A0D">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Calibri"/>
                <w:b/>
                <w:bCs/>
                <w:lang w:eastAsia="fr-FR"/>
              </w:rPr>
            </w:pPr>
            <w:r w:rsidRPr="00060A0D">
              <w:rPr>
                <w:rFonts w:ascii="Garamond" w:eastAsia="Times New Roman" w:hAnsi="Garamond" w:cs="Calibri"/>
                <w:b/>
                <w:bCs/>
                <w:lang w:eastAsia="fr-FR"/>
              </w:rPr>
              <w:t>exécutée</w:t>
            </w:r>
          </w:p>
        </w:tc>
        <w:tc>
          <w:tcPr>
            <w:tcW w:w="509" w:type="pct"/>
            <w:noWrap/>
            <w:hideMark/>
          </w:tcPr>
          <w:p w14:paraId="623581F4" w14:textId="77777777" w:rsidR="00060A0D" w:rsidRPr="00060A0D" w:rsidRDefault="00060A0D" w:rsidP="00060A0D">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Calibri"/>
                <w:b/>
                <w:bCs/>
                <w:lang w:eastAsia="fr-FR"/>
              </w:rPr>
            </w:pPr>
            <w:proofErr w:type="spellStart"/>
            <w:r w:rsidRPr="00060A0D">
              <w:rPr>
                <w:rFonts w:ascii="Garamond" w:eastAsia="Times New Roman" w:hAnsi="Garamond" w:cs="Calibri"/>
                <w:b/>
                <w:bCs/>
                <w:lang w:eastAsia="fr-FR"/>
              </w:rPr>
              <w:t>prév</w:t>
            </w:r>
            <w:proofErr w:type="spellEnd"/>
            <w:r w:rsidRPr="00060A0D">
              <w:rPr>
                <w:rFonts w:ascii="Garamond" w:eastAsia="Times New Roman" w:hAnsi="Garamond" w:cs="Calibri"/>
                <w:b/>
                <w:bCs/>
                <w:lang w:eastAsia="fr-FR"/>
              </w:rPr>
              <w:t>.</w:t>
            </w:r>
          </w:p>
        </w:tc>
        <w:tc>
          <w:tcPr>
            <w:tcW w:w="509" w:type="pct"/>
            <w:noWrap/>
            <w:hideMark/>
          </w:tcPr>
          <w:p w14:paraId="39C75EDC" w14:textId="6AC02DFF" w:rsidR="00060A0D" w:rsidRPr="00060A0D" w:rsidRDefault="00060A0D" w:rsidP="00060A0D">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Calibri"/>
                <w:b/>
                <w:bCs/>
                <w:lang w:eastAsia="fr-FR"/>
              </w:rPr>
            </w:pPr>
            <w:r w:rsidRPr="00060A0D">
              <w:rPr>
                <w:rFonts w:ascii="Garamond" w:eastAsia="Times New Roman" w:hAnsi="Garamond" w:cs="Calibri"/>
                <w:b/>
                <w:bCs/>
                <w:lang w:eastAsia="fr-FR"/>
              </w:rPr>
              <w:t>exécutée</w:t>
            </w:r>
          </w:p>
        </w:tc>
        <w:tc>
          <w:tcPr>
            <w:tcW w:w="505" w:type="pct"/>
            <w:noWrap/>
            <w:hideMark/>
          </w:tcPr>
          <w:p w14:paraId="308EE302" w14:textId="77777777" w:rsidR="00060A0D" w:rsidRPr="00060A0D" w:rsidRDefault="00060A0D" w:rsidP="00060A0D">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Calibri"/>
                <w:b/>
                <w:bCs/>
                <w:lang w:eastAsia="fr-FR"/>
              </w:rPr>
            </w:pPr>
            <w:proofErr w:type="spellStart"/>
            <w:r w:rsidRPr="00060A0D">
              <w:rPr>
                <w:rFonts w:ascii="Garamond" w:eastAsia="Times New Roman" w:hAnsi="Garamond" w:cs="Calibri"/>
                <w:b/>
                <w:bCs/>
                <w:lang w:eastAsia="fr-FR"/>
              </w:rPr>
              <w:t>prév</w:t>
            </w:r>
            <w:proofErr w:type="spellEnd"/>
            <w:r w:rsidRPr="00060A0D">
              <w:rPr>
                <w:rFonts w:ascii="Garamond" w:eastAsia="Times New Roman" w:hAnsi="Garamond" w:cs="Calibri"/>
                <w:b/>
                <w:bCs/>
                <w:lang w:eastAsia="fr-FR"/>
              </w:rPr>
              <w:t>.</w:t>
            </w:r>
          </w:p>
        </w:tc>
      </w:tr>
      <w:tr w:rsidR="00F3349F" w:rsidRPr="00F3349F" w14:paraId="7C477810" w14:textId="77777777" w:rsidTr="00CA3569">
        <w:trPr>
          <w:trHeight w:val="398"/>
        </w:trPr>
        <w:tc>
          <w:tcPr>
            <w:cnfStyle w:val="001000000000" w:firstRow="0" w:lastRow="0" w:firstColumn="1" w:lastColumn="0" w:oddVBand="0" w:evenVBand="0" w:oddHBand="0" w:evenHBand="0" w:firstRowFirstColumn="0" w:firstRowLastColumn="0" w:lastRowFirstColumn="0" w:lastRowLastColumn="0"/>
            <w:tcW w:w="1441" w:type="pct"/>
            <w:hideMark/>
          </w:tcPr>
          <w:p w14:paraId="42AEA23E" w14:textId="77777777" w:rsidR="00060A0D" w:rsidRPr="00060A0D" w:rsidRDefault="00060A0D" w:rsidP="00060A0D">
            <w:pPr>
              <w:rPr>
                <w:rFonts w:ascii="Garamond" w:eastAsia="Times New Roman" w:hAnsi="Garamond" w:cs="Calibri"/>
                <w:b w:val="0"/>
                <w:bCs w:val="0"/>
                <w:lang w:eastAsia="fr-FR"/>
              </w:rPr>
            </w:pPr>
            <w:r w:rsidRPr="00060A0D">
              <w:rPr>
                <w:rFonts w:ascii="Garamond" w:eastAsia="Times New Roman" w:hAnsi="Garamond" w:cs="Calibri"/>
                <w:lang w:eastAsia="fr-FR"/>
              </w:rPr>
              <w:t xml:space="preserve">Produit intérieur brut - prix </w:t>
            </w:r>
            <w:r w:rsidRPr="00060A0D">
              <w:rPr>
                <w:rFonts w:ascii="Garamond" w:eastAsia="Times New Roman" w:hAnsi="Garamond" w:cs="Calibri"/>
                <w:u w:val="single"/>
                <w:lang w:eastAsia="fr-FR"/>
              </w:rPr>
              <w:t>courants</w:t>
            </w:r>
          </w:p>
        </w:tc>
        <w:tc>
          <w:tcPr>
            <w:tcW w:w="1018" w:type="pct"/>
            <w:gridSpan w:val="2"/>
            <w:noWrap/>
            <w:hideMark/>
          </w:tcPr>
          <w:p w14:paraId="409300AF" w14:textId="59305C13" w:rsidR="00060A0D" w:rsidRPr="00060A0D" w:rsidRDefault="00060A0D" w:rsidP="00060A0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lang w:eastAsia="fr-FR"/>
              </w:rPr>
            </w:pPr>
            <w:r w:rsidRPr="00060A0D">
              <w:rPr>
                <w:rFonts w:ascii="Garamond" w:eastAsia="Times New Roman" w:hAnsi="Garamond" w:cs="Calibri"/>
                <w:lang w:eastAsia="fr-FR"/>
              </w:rPr>
              <w:t>9 369,20</w:t>
            </w:r>
          </w:p>
        </w:tc>
        <w:tc>
          <w:tcPr>
            <w:tcW w:w="1018" w:type="pct"/>
            <w:gridSpan w:val="2"/>
            <w:noWrap/>
            <w:hideMark/>
          </w:tcPr>
          <w:p w14:paraId="628E2372" w14:textId="231631BB" w:rsidR="00060A0D" w:rsidRPr="00060A0D" w:rsidRDefault="00060A0D" w:rsidP="00060A0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lang w:eastAsia="fr-FR"/>
              </w:rPr>
            </w:pPr>
            <w:r w:rsidRPr="00060A0D">
              <w:rPr>
                <w:rFonts w:ascii="Garamond" w:eastAsia="Times New Roman" w:hAnsi="Garamond" w:cs="Calibri"/>
                <w:lang w:eastAsia="fr-FR"/>
              </w:rPr>
              <w:t>10 065,30</w:t>
            </w:r>
          </w:p>
        </w:tc>
        <w:tc>
          <w:tcPr>
            <w:tcW w:w="1018" w:type="pct"/>
            <w:gridSpan w:val="2"/>
            <w:noWrap/>
            <w:hideMark/>
          </w:tcPr>
          <w:p w14:paraId="01F2BF82" w14:textId="06D6C3B1" w:rsidR="00060A0D" w:rsidRPr="00060A0D" w:rsidRDefault="00060A0D" w:rsidP="00060A0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lang w:eastAsia="fr-FR"/>
              </w:rPr>
            </w:pPr>
            <w:r w:rsidRPr="00060A0D">
              <w:rPr>
                <w:rFonts w:ascii="Garamond" w:eastAsia="Times New Roman" w:hAnsi="Garamond" w:cs="Calibri"/>
                <w:lang w:eastAsia="fr-FR"/>
              </w:rPr>
              <w:t>10 762,30</w:t>
            </w:r>
          </w:p>
        </w:tc>
        <w:tc>
          <w:tcPr>
            <w:tcW w:w="505" w:type="pct"/>
            <w:noWrap/>
            <w:hideMark/>
          </w:tcPr>
          <w:p w14:paraId="58A991B3" w14:textId="3692DBA7" w:rsidR="00060A0D" w:rsidRPr="00060A0D" w:rsidRDefault="00060A0D" w:rsidP="00060A0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lang w:eastAsia="fr-FR"/>
              </w:rPr>
            </w:pPr>
            <w:r w:rsidRPr="00060A0D">
              <w:rPr>
                <w:rFonts w:ascii="Garamond" w:eastAsia="Times New Roman" w:hAnsi="Garamond" w:cs="Calibri"/>
                <w:lang w:eastAsia="fr-FR"/>
              </w:rPr>
              <w:t>11 490,10</w:t>
            </w:r>
          </w:p>
        </w:tc>
      </w:tr>
      <w:tr w:rsidR="00F3349F" w:rsidRPr="00F3349F" w14:paraId="0B1CE11E" w14:textId="77777777" w:rsidTr="00CA3569">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441" w:type="pct"/>
            <w:hideMark/>
          </w:tcPr>
          <w:p w14:paraId="16202C6A" w14:textId="77777777" w:rsidR="00060A0D" w:rsidRPr="00060A0D" w:rsidRDefault="00060A0D" w:rsidP="00060A0D">
            <w:pPr>
              <w:rPr>
                <w:rFonts w:ascii="Garamond" w:eastAsia="Times New Roman" w:hAnsi="Garamond" w:cs="Calibri"/>
                <w:b w:val="0"/>
                <w:bCs w:val="0"/>
                <w:lang w:eastAsia="fr-FR"/>
              </w:rPr>
            </w:pPr>
            <w:r w:rsidRPr="00060A0D">
              <w:rPr>
                <w:rFonts w:ascii="Garamond" w:eastAsia="Times New Roman" w:hAnsi="Garamond" w:cs="Calibri"/>
                <w:lang w:eastAsia="fr-FR"/>
              </w:rPr>
              <w:t>Total des dépenses publiques</w:t>
            </w:r>
          </w:p>
        </w:tc>
        <w:tc>
          <w:tcPr>
            <w:tcW w:w="509" w:type="pct"/>
            <w:noWrap/>
            <w:hideMark/>
          </w:tcPr>
          <w:p w14:paraId="6B54AB15" w14:textId="3FF4AD59" w:rsidR="00060A0D" w:rsidRPr="00060A0D" w:rsidRDefault="00060A0D" w:rsidP="00060A0D">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Calibri"/>
                <w:lang w:eastAsia="fr-FR"/>
              </w:rPr>
            </w:pPr>
            <w:r w:rsidRPr="00060A0D">
              <w:rPr>
                <w:rFonts w:ascii="Garamond" w:eastAsia="Times New Roman" w:hAnsi="Garamond" w:cs="Calibri"/>
                <w:lang w:eastAsia="fr-FR"/>
              </w:rPr>
              <w:t>2 059,70</w:t>
            </w:r>
          </w:p>
        </w:tc>
        <w:tc>
          <w:tcPr>
            <w:tcW w:w="509" w:type="pct"/>
            <w:noWrap/>
            <w:hideMark/>
          </w:tcPr>
          <w:p w14:paraId="2A3436E5" w14:textId="4577640D" w:rsidR="00060A0D" w:rsidRPr="00060A0D" w:rsidRDefault="00060A0D" w:rsidP="00060A0D">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Calibri"/>
                <w:lang w:eastAsia="fr-FR"/>
              </w:rPr>
            </w:pPr>
            <w:r w:rsidRPr="00060A0D">
              <w:rPr>
                <w:rFonts w:ascii="Garamond" w:eastAsia="Times New Roman" w:hAnsi="Garamond" w:cs="Calibri"/>
                <w:lang w:eastAsia="fr-FR"/>
              </w:rPr>
              <w:t>2 005,96</w:t>
            </w:r>
          </w:p>
        </w:tc>
        <w:tc>
          <w:tcPr>
            <w:tcW w:w="509" w:type="pct"/>
            <w:noWrap/>
            <w:hideMark/>
          </w:tcPr>
          <w:p w14:paraId="302AC92E" w14:textId="6E647A15" w:rsidR="00060A0D" w:rsidRPr="00060A0D" w:rsidRDefault="00060A0D" w:rsidP="00060A0D">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Calibri"/>
                <w:lang w:eastAsia="fr-FR"/>
              </w:rPr>
            </w:pPr>
            <w:r w:rsidRPr="00060A0D">
              <w:rPr>
                <w:rFonts w:ascii="Garamond" w:eastAsia="Times New Roman" w:hAnsi="Garamond" w:cs="Calibri"/>
                <w:lang w:eastAsia="fr-FR"/>
              </w:rPr>
              <w:t>2 119,55</w:t>
            </w:r>
          </w:p>
        </w:tc>
        <w:tc>
          <w:tcPr>
            <w:tcW w:w="509" w:type="pct"/>
            <w:noWrap/>
            <w:hideMark/>
          </w:tcPr>
          <w:p w14:paraId="7474C951" w14:textId="37193125" w:rsidR="00060A0D" w:rsidRPr="00060A0D" w:rsidRDefault="00060A0D" w:rsidP="00060A0D">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Calibri"/>
                <w:lang w:eastAsia="fr-FR"/>
              </w:rPr>
            </w:pPr>
            <w:r w:rsidRPr="00060A0D">
              <w:rPr>
                <w:rFonts w:ascii="Garamond" w:eastAsia="Times New Roman" w:hAnsi="Garamond" w:cs="Calibri"/>
                <w:lang w:eastAsia="fr-FR"/>
              </w:rPr>
              <w:t>2 077,76</w:t>
            </w:r>
          </w:p>
        </w:tc>
        <w:tc>
          <w:tcPr>
            <w:tcW w:w="509" w:type="pct"/>
            <w:noWrap/>
            <w:hideMark/>
          </w:tcPr>
          <w:p w14:paraId="3F5C1FF0" w14:textId="13184F9A" w:rsidR="00060A0D" w:rsidRPr="00060A0D" w:rsidRDefault="00060A0D" w:rsidP="00060A0D">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Calibri"/>
                <w:lang w:eastAsia="fr-FR"/>
              </w:rPr>
            </w:pPr>
            <w:r w:rsidRPr="00060A0D">
              <w:rPr>
                <w:rFonts w:ascii="Garamond" w:eastAsia="Times New Roman" w:hAnsi="Garamond" w:cs="Calibri"/>
                <w:lang w:eastAsia="fr-FR"/>
              </w:rPr>
              <w:t>2 307,21</w:t>
            </w:r>
          </w:p>
        </w:tc>
        <w:tc>
          <w:tcPr>
            <w:tcW w:w="509" w:type="pct"/>
            <w:noWrap/>
            <w:hideMark/>
          </w:tcPr>
          <w:p w14:paraId="4C42093D" w14:textId="2C004584" w:rsidR="00060A0D" w:rsidRPr="00060A0D" w:rsidRDefault="00060A0D" w:rsidP="00060A0D">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Calibri"/>
                <w:lang w:eastAsia="fr-FR"/>
              </w:rPr>
            </w:pPr>
            <w:r w:rsidRPr="00060A0D">
              <w:rPr>
                <w:rFonts w:ascii="Garamond" w:eastAsia="Times New Roman" w:hAnsi="Garamond" w:cs="Calibri"/>
                <w:lang w:eastAsia="fr-FR"/>
              </w:rPr>
              <w:t>2 238,43</w:t>
            </w:r>
          </w:p>
        </w:tc>
        <w:tc>
          <w:tcPr>
            <w:tcW w:w="505" w:type="pct"/>
            <w:noWrap/>
            <w:hideMark/>
          </w:tcPr>
          <w:p w14:paraId="1C6934D7" w14:textId="03F3F6E2" w:rsidR="00060A0D" w:rsidRPr="00060A0D" w:rsidRDefault="00060A0D" w:rsidP="00060A0D">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Calibri"/>
                <w:lang w:eastAsia="fr-FR"/>
              </w:rPr>
            </w:pPr>
            <w:r w:rsidRPr="00060A0D">
              <w:rPr>
                <w:rFonts w:ascii="Garamond" w:eastAsia="Times New Roman" w:hAnsi="Garamond" w:cs="Calibri"/>
                <w:lang w:eastAsia="fr-FR"/>
              </w:rPr>
              <w:t>2 562,99</w:t>
            </w:r>
          </w:p>
        </w:tc>
      </w:tr>
      <w:tr w:rsidR="00F3349F" w:rsidRPr="00F3349F" w14:paraId="27FBA621" w14:textId="77777777" w:rsidTr="00CA3569">
        <w:trPr>
          <w:trHeight w:val="586"/>
        </w:trPr>
        <w:tc>
          <w:tcPr>
            <w:cnfStyle w:val="001000000000" w:firstRow="0" w:lastRow="0" w:firstColumn="1" w:lastColumn="0" w:oddVBand="0" w:evenVBand="0" w:oddHBand="0" w:evenHBand="0" w:firstRowFirstColumn="0" w:firstRowLastColumn="0" w:lastRowFirstColumn="0" w:lastRowLastColumn="0"/>
            <w:tcW w:w="1441" w:type="pct"/>
            <w:hideMark/>
          </w:tcPr>
          <w:p w14:paraId="6A3C5446" w14:textId="77777777" w:rsidR="00060A0D" w:rsidRPr="00060A0D" w:rsidRDefault="00060A0D" w:rsidP="00060A0D">
            <w:pPr>
              <w:rPr>
                <w:rFonts w:ascii="Garamond" w:eastAsia="Times New Roman" w:hAnsi="Garamond" w:cs="Calibri"/>
                <w:lang w:eastAsia="fr-FR"/>
              </w:rPr>
            </w:pPr>
            <w:r w:rsidRPr="00060A0D">
              <w:rPr>
                <w:rFonts w:ascii="Garamond" w:eastAsia="Times New Roman" w:hAnsi="Garamond" w:cs="Calibri"/>
                <w:lang w:eastAsia="fr-FR"/>
              </w:rPr>
              <w:t xml:space="preserve">Dépenses publiques courantes, </w:t>
            </w:r>
            <w:r w:rsidRPr="00060A0D">
              <w:rPr>
                <w:rFonts w:ascii="Garamond" w:eastAsia="Times New Roman" w:hAnsi="Garamond" w:cs="Calibri"/>
                <w:u w:val="single"/>
                <w:lang w:eastAsia="fr-FR"/>
              </w:rPr>
              <w:t>hors</w:t>
            </w:r>
            <w:r w:rsidRPr="00060A0D">
              <w:rPr>
                <w:rFonts w:ascii="Garamond" w:eastAsia="Times New Roman" w:hAnsi="Garamond" w:cs="Calibri"/>
                <w:lang w:eastAsia="fr-FR"/>
              </w:rPr>
              <w:t xml:space="preserve"> service de la dette</w:t>
            </w:r>
          </w:p>
        </w:tc>
        <w:tc>
          <w:tcPr>
            <w:tcW w:w="509" w:type="pct"/>
            <w:noWrap/>
            <w:hideMark/>
          </w:tcPr>
          <w:p w14:paraId="277A0109" w14:textId="281C5727" w:rsidR="00060A0D" w:rsidRPr="00060A0D" w:rsidRDefault="00060A0D" w:rsidP="00060A0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lang w:eastAsia="fr-FR"/>
              </w:rPr>
            </w:pPr>
            <w:r w:rsidRPr="00060A0D">
              <w:rPr>
                <w:rFonts w:ascii="Garamond" w:eastAsia="Times New Roman" w:hAnsi="Garamond" w:cs="Calibri"/>
                <w:lang w:eastAsia="fr-FR"/>
              </w:rPr>
              <w:t>1 550,35</w:t>
            </w:r>
          </w:p>
        </w:tc>
        <w:tc>
          <w:tcPr>
            <w:tcW w:w="509" w:type="pct"/>
            <w:noWrap/>
            <w:hideMark/>
          </w:tcPr>
          <w:p w14:paraId="0E867690" w14:textId="06D9A447" w:rsidR="00060A0D" w:rsidRPr="00060A0D" w:rsidRDefault="00060A0D" w:rsidP="00060A0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lang w:eastAsia="fr-FR"/>
              </w:rPr>
            </w:pPr>
            <w:r w:rsidRPr="00060A0D">
              <w:rPr>
                <w:rFonts w:ascii="Garamond" w:eastAsia="Times New Roman" w:hAnsi="Garamond" w:cs="Calibri"/>
                <w:lang w:eastAsia="fr-FR"/>
              </w:rPr>
              <w:t>1 495,55</w:t>
            </w:r>
          </w:p>
        </w:tc>
        <w:tc>
          <w:tcPr>
            <w:tcW w:w="509" w:type="pct"/>
            <w:noWrap/>
            <w:hideMark/>
          </w:tcPr>
          <w:p w14:paraId="577F1FF1" w14:textId="55F59647" w:rsidR="00060A0D" w:rsidRPr="00060A0D" w:rsidRDefault="00060A0D" w:rsidP="00060A0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lang w:eastAsia="fr-FR"/>
              </w:rPr>
            </w:pPr>
            <w:r w:rsidRPr="00060A0D">
              <w:rPr>
                <w:rFonts w:ascii="Garamond" w:eastAsia="Times New Roman" w:hAnsi="Garamond" w:cs="Calibri"/>
                <w:lang w:eastAsia="fr-FR"/>
              </w:rPr>
              <w:t>1 568,62</w:t>
            </w:r>
          </w:p>
        </w:tc>
        <w:tc>
          <w:tcPr>
            <w:tcW w:w="509" w:type="pct"/>
            <w:noWrap/>
            <w:hideMark/>
          </w:tcPr>
          <w:p w14:paraId="42F95224" w14:textId="29980753" w:rsidR="00060A0D" w:rsidRPr="00060A0D" w:rsidRDefault="00060A0D" w:rsidP="00060A0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lang w:eastAsia="fr-FR"/>
              </w:rPr>
            </w:pPr>
            <w:r w:rsidRPr="00060A0D">
              <w:rPr>
                <w:rFonts w:ascii="Garamond" w:eastAsia="Times New Roman" w:hAnsi="Garamond" w:cs="Calibri"/>
                <w:lang w:eastAsia="fr-FR"/>
              </w:rPr>
              <w:t>1 525,96</w:t>
            </w:r>
          </w:p>
        </w:tc>
        <w:tc>
          <w:tcPr>
            <w:tcW w:w="509" w:type="pct"/>
            <w:noWrap/>
            <w:hideMark/>
          </w:tcPr>
          <w:p w14:paraId="71D11700" w14:textId="4E62B841" w:rsidR="00060A0D" w:rsidRPr="00060A0D" w:rsidRDefault="00060A0D" w:rsidP="00060A0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lang w:eastAsia="fr-FR"/>
              </w:rPr>
            </w:pPr>
            <w:r w:rsidRPr="00060A0D">
              <w:rPr>
                <w:rFonts w:ascii="Garamond" w:eastAsia="Times New Roman" w:hAnsi="Garamond" w:cs="Calibri"/>
                <w:lang w:eastAsia="fr-FR"/>
              </w:rPr>
              <w:t>1 604,84</w:t>
            </w:r>
          </w:p>
        </w:tc>
        <w:tc>
          <w:tcPr>
            <w:tcW w:w="509" w:type="pct"/>
            <w:noWrap/>
            <w:hideMark/>
          </w:tcPr>
          <w:p w14:paraId="7D6C58BA" w14:textId="00CCF5B0" w:rsidR="00060A0D" w:rsidRPr="00060A0D" w:rsidRDefault="00060A0D" w:rsidP="00060A0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lang w:eastAsia="fr-FR"/>
              </w:rPr>
            </w:pPr>
            <w:r w:rsidRPr="00060A0D">
              <w:rPr>
                <w:rFonts w:ascii="Garamond" w:eastAsia="Times New Roman" w:hAnsi="Garamond" w:cs="Calibri"/>
                <w:lang w:eastAsia="fr-FR"/>
              </w:rPr>
              <w:t>1 582,73</w:t>
            </w:r>
          </w:p>
        </w:tc>
        <w:tc>
          <w:tcPr>
            <w:tcW w:w="505" w:type="pct"/>
            <w:noWrap/>
            <w:hideMark/>
          </w:tcPr>
          <w:p w14:paraId="4094CFFB" w14:textId="03E5018E" w:rsidR="00060A0D" w:rsidRPr="00060A0D" w:rsidRDefault="00060A0D" w:rsidP="00060A0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lang w:eastAsia="fr-FR"/>
              </w:rPr>
            </w:pPr>
            <w:r w:rsidRPr="00060A0D">
              <w:rPr>
                <w:rFonts w:ascii="Garamond" w:eastAsia="Times New Roman" w:hAnsi="Garamond" w:cs="Calibri"/>
                <w:lang w:eastAsia="fr-FR"/>
              </w:rPr>
              <w:t>1 717,50</w:t>
            </w:r>
          </w:p>
        </w:tc>
      </w:tr>
      <w:tr w:rsidR="00F3349F" w:rsidRPr="00F3349F" w14:paraId="33426C98" w14:textId="77777777" w:rsidTr="00CA3569">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1441" w:type="pct"/>
            <w:hideMark/>
          </w:tcPr>
          <w:p w14:paraId="191FF746" w14:textId="77777777" w:rsidR="00060A0D" w:rsidRPr="00060A0D" w:rsidRDefault="00060A0D" w:rsidP="00060A0D">
            <w:pPr>
              <w:ind w:firstLineChars="100" w:firstLine="220"/>
              <w:rPr>
                <w:rFonts w:ascii="Garamond" w:eastAsia="Times New Roman" w:hAnsi="Garamond" w:cs="Calibri"/>
                <w:lang w:eastAsia="fr-FR"/>
              </w:rPr>
            </w:pPr>
            <w:r w:rsidRPr="00060A0D">
              <w:rPr>
                <w:rFonts w:ascii="Garamond" w:eastAsia="Times New Roman" w:hAnsi="Garamond" w:cs="Calibri"/>
                <w:lang w:eastAsia="fr-FR"/>
              </w:rPr>
              <w:t xml:space="preserve">Dépenses publiques en investissement, </w:t>
            </w:r>
            <w:r w:rsidRPr="00060A0D">
              <w:rPr>
                <w:rFonts w:ascii="Garamond" w:eastAsia="Times New Roman" w:hAnsi="Garamond" w:cs="Calibri"/>
                <w:u w:val="single"/>
                <w:lang w:eastAsia="fr-FR"/>
              </w:rPr>
              <w:t>hors</w:t>
            </w:r>
            <w:r w:rsidRPr="00060A0D">
              <w:rPr>
                <w:rFonts w:ascii="Garamond" w:eastAsia="Times New Roman" w:hAnsi="Garamond" w:cs="Calibri"/>
                <w:lang w:eastAsia="fr-FR"/>
              </w:rPr>
              <w:t xml:space="preserve"> service de la dette</w:t>
            </w:r>
          </w:p>
        </w:tc>
        <w:tc>
          <w:tcPr>
            <w:tcW w:w="509" w:type="pct"/>
            <w:noWrap/>
            <w:hideMark/>
          </w:tcPr>
          <w:p w14:paraId="7A5DF33F" w14:textId="5E43115E" w:rsidR="00060A0D" w:rsidRPr="00060A0D" w:rsidRDefault="00060A0D" w:rsidP="00060A0D">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Calibri"/>
                <w:lang w:eastAsia="fr-FR"/>
              </w:rPr>
            </w:pPr>
            <w:r w:rsidRPr="00060A0D">
              <w:rPr>
                <w:rFonts w:ascii="Garamond" w:eastAsia="Times New Roman" w:hAnsi="Garamond" w:cs="Calibri"/>
                <w:lang w:eastAsia="fr-FR"/>
              </w:rPr>
              <w:t>409,35</w:t>
            </w:r>
          </w:p>
        </w:tc>
        <w:tc>
          <w:tcPr>
            <w:tcW w:w="509" w:type="pct"/>
            <w:noWrap/>
            <w:hideMark/>
          </w:tcPr>
          <w:p w14:paraId="0149A849" w14:textId="296E5ECA" w:rsidR="00060A0D" w:rsidRPr="00060A0D" w:rsidRDefault="00060A0D" w:rsidP="00060A0D">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Calibri"/>
                <w:lang w:eastAsia="fr-FR"/>
              </w:rPr>
            </w:pPr>
            <w:r w:rsidRPr="00060A0D">
              <w:rPr>
                <w:rFonts w:ascii="Garamond" w:eastAsia="Times New Roman" w:hAnsi="Garamond" w:cs="Calibri"/>
                <w:lang w:eastAsia="fr-FR"/>
              </w:rPr>
              <w:t>393,63</w:t>
            </w:r>
          </w:p>
        </w:tc>
        <w:tc>
          <w:tcPr>
            <w:tcW w:w="509" w:type="pct"/>
            <w:noWrap/>
            <w:hideMark/>
          </w:tcPr>
          <w:p w14:paraId="01C99752" w14:textId="0395C255" w:rsidR="00060A0D" w:rsidRPr="00060A0D" w:rsidRDefault="00060A0D" w:rsidP="00060A0D">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Calibri"/>
                <w:lang w:eastAsia="fr-FR"/>
              </w:rPr>
            </w:pPr>
            <w:r w:rsidRPr="00060A0D">
              <w:rPr>
                <w:rFonts w:ascii="Garamond" w:eastAsia="Times New Roman" w:hAnsi="Garamond" w:cs="Calibri"/>
                <w:lang w:eastAsia="fr-FR"/>
              </w:rPr>
              <w:t>437,55</w:t>
            </w:r>
          </w:p>
        </w:tc>
        <w:tc>
          <w:tcPr>
            <w:tcW w:w="509" w:type="pct"/>
            <w:noWrap/>
            <w:hideMark/>
          </w:tcPr>
          <w:p w14:paraId="2DBECB01" w14:textId="5B065CDD" w:rsidR="00060A0D" w:rsidRPr="00060A0D" w:rsidRDefault="00060A0D" w:rsidP="00060A0D">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Calibri"/>
                <w:lang w:eastAsia="fr-FR"/>
              </w:rPr>
            </w:pPr>
            <w:r w:rsidRPr="00060A0D">
              <w:rPr>
                <w:rFonts w:ascii="Garamond" w:eastAsia="Times New Roman" w:hAnsi="Garamond" w:cs="Calibri"/>
                <w:lang w:eastAsia="fr-FR"/>
              </w:rPr>
              <w:t>411,89</w:t>
            </w:r>
          </w:p>
        </w:tc>
        <w:tc>
          <w:tcPr>
            <w:tcW w:w="509" w:type="pct"/>
            <w:noWrap/>
            <w:hideMark/>
          </w:tcPr>
          <w:p w14:paraId="0B7EBCC5" w14:textId="1E648FEF" w:rsidR="00060A0D" w:rsidRPr="00060A0D" w:rsidRDefault="00060A0D" w:rsidP="00060A0D">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Calibri"/>
                <w:lang w:eastAsia="fr-FR"/>
              </w:rPr>
            </w:pPr>
            <w:r w:rsidRPr="00060A0D">
              <w:rPr>
                <w:rFonts w:ascii="Garamond" w:eastAsia="Times New Roman" w:hAnsi="Garamond" w:cs="Calibri"/>
                <w:lang w:eastAsia="fr-FR"/>
              </w:rPr>
              <w:t>528,77</w:t>
            </w:r>
          </w:p>
        </w:tc>
        <w:tc>
          <w:tcPr>
            <w:tcW w:w="509" w:type="pct"/>
            <w:noWrap/>
            <w:hideMark/>
          </w:tcPr>
          <w:p w14:paraId="181C7CC4" w14:textId="7C6A0489" w:rsidR="00060A0D" w:rsidRPr="00060A0D" w:rsidRDefault="00060A0D" w:rsidP="00060A0D">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Calibri"/>
                <w:lang w:eastAsia="fr-FR"/>
              </w:rPr>
            </w:pPr>
            <w:r w:rsidRPr="00060A0D">
              <w:rPr>
                <w:rFonts w:ascii="Garamond" w:eastAsia="Times New Roman" w:hAnsi="Garamond" w:cs="Calibri"/>
                <w:lang w:eastAsia="fr-FR"/>
              </w:rPr>
              <w:t>449,47</w:t>
            </w:r>
          </w:p>
        </w:tc>
        <w:tc>
          <w:tcPr>
            <w:tcW w:w="505" w:type="pct"/>
            <w:noWrap/>
            <w:hideMark/>
          </w:tcPr>
          <w:p w14:paraId="17EB26F6" w14:textId="60509491" w:rsidR="00060A0D" w:rsidRPr="00060A0D" w:rsidRDefault="00060A0D" w:rsidP="00060A0D">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Calibri"/>
                <w:lang w:eastAsia="fr-FR"/>
              </w:rPr>
            </w:pPr>
            <w:r w:rsidRPr="00060A0D">
              <w:rPr>
                <w:rFonts w:ascii="Garamond" w:eastAsia="Times New Roman" w:hAnsi="Garamond" w:cs="Calibri"/>
                <w:lang w:eastAsia="fr-FR"/>
              </w:rPr>
              <w:t>649,69</w:t>
            </w:r>
          </w:p>
        </w:tc>
      </w:tr>
      <w:tr w:rsidR="00F3349F" w:rsidRPr="00F3349F" w14:paraId="37C1F1E4" w14:textId="77777777" w:rsidTr="00CA3569">
        <w:trPr>
          <w:trHeight w:val="761"/>
        </w:trPr>
        <w:tc>
          <w:tcPr>
            <w:cnfStyle w:val="001000000000" w:firstRow="0" w:lastRow="0" w:firstColumn="1" w:lastColumn="0" w:oddVBand="0" w:evenVBand="0" w:oddHBand="0" w:evenHBand="0" w:firstRowFirstColumn="0" w:firstRowLastColumn="0" w:lastRowFirstColumn="0" w:lastRowLastColumn="0"/>
            <w:tcW w:w="1441" w:type="pct"/>
            <w:hideMark/>
          </w:tcPr>
          <w:p w14:paraId="1B976368" w14:textId="77777777" w:rsidR="00060A0D" w:rsidRPr="00060A0D" w:rsidRDefault="00060A0D" w:rsidP="00060A0D">
            <w:pPr>
              <w:rPr>
                <w:rFonts w:ascii="Garamond" w:eastAsia="Times New Roman" w:hAnsi="Garamond" w:cs="Calibri"/>
                <w:lang w:eastAsia="fr-FR"/>
              </w:rPr>
            </w:pPr>
            <w:r w:rsidRPr="00060A0D">
              <w:rPr>
                <w:rFonts w:ascii="Garamond" w:eastAsia="Times New Roman" w:hAnsi="Garamond" w:cs="Calibri"/>
                <w:lang w:eastAsia="fr-FR"/>
              </w:rPr>
              <w:t xml:space="preserve">Service de la dette (y compris le remboursement du principal et des intérêts) </w:t>
            </w:r>
          </w:p>
        </w:tc>
        <w:tc>
          <w:tcPr>
            <w:tcW w:w="509" w:type="pct"/>
            <w:noWrap/>
            <w:hideMark/>
          </w:tcPr>
          <w:p w14:paraId="19CD5307" w14:textId="20F9F416" w:rsidR="00060A0D" w:rsidRPr="00060A0D" w:rsidRDefault="00060A0D" w:rsidP="00060A0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lang w:eastAsia="fr-FR"/>
              </w:rPr>
            </w:pPr>
            <w:r w:rsidRPr="00060A0D">
              <w:rPr>
                <w:rFonts w:ascii="Garamond" w:eastAsia="Times New Roman" w:hAnsi="Garamond" w:cs="Calibri"/>
                <w:lang w:eastAsia="fr-FR"/>
              </w:rPr>
              <w:t>100,00</w:t>
            </w:r>
          </w:p>
        </w:tc>
        <w:tc>
          <w:tcPr>
            <w:tcW w:w="509" w:type="pct"/>
            <w:noWrap/>
            <w:hideMark/>
          </w:tcPr>
          <w:p w14:paraId="74F70540" w14:textId="49582253" w:rsidR="00060A0D" w:rsidRPr="00060A0D" w:rsidRDefault="00060A0D" w:rsidP="00060A0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lang w:eastAsia="fr-FR"/>
              </w:rPr>
            </w:pPr>
            <w:r w:rsidRPr="00060A0D">
              <w:rPr>
                <w:rFonts w:ascii="Garamond" w:eastAsia="Times New Roman" w:hAnsi="Garamond" w:cs="Calibri"/>
                <w:lang w:eastAsia="fr-FR"/>
              </w:rPr>
              <w:t>116,77</w:t>
            </w:r>
          </w:p>
        </w:tc>
        <w:tc>
          <w:tcPr>
            <w:tcW w:w="509" w:type="pct"/>
            <w:noWrap/>
            <w:hideMark/>
          </w:tcPr>
          <w:p w14:paraId="4391584E" w14:textId="3BAFDFFC" w:rsidR="00060A0D" w:rsidRPr="00060A0D" w:rsidRDefault="00060A0D" w:rsidP="00060A0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lang w:eastAsia="fr-FR"/>
              </w:rPr>
            </w:pPr>
            <w:r w:rsidRPr="00060A0D">
              <w:rPr>
                <w:rFonts w:ascii="Garamond" w:eastAsia="Times New Roman" w:hAnsi="Garamond" w:cs="Calibri"/>
                <w:lang w:eastAsia="fr-FR"/>
              </w:rPr>
              <w:t>113,38</w:t>
            </w:r>
          </w:p>
        </w:tc>
        <w:tc>
          <w:tcPr>
            <w:tcW w:w="509" w:type="pct"/>
            <w:noWrap/>
            <w:hideMark/>
          </w:tcPr>
          <w:p w14:paraId="39F587B8" w14:textId="16FE56B3" w:rsidR="00060A0D" w:rsidRPr="00060A0D" w:rsidRDefault="00060A0D" w:rsidP="00060A0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lang w:eastAsia="fr-FR"/>
              </w:rPr>
            </w:pPr>
            <w:r w:rsidRPr="00060A0D">
              <w:rPr>
                <w:rFonts w:ascii="Garamond" w:eastAsia="Times New Roman" w:hAnsi="Garamond" w:cs="Calibri"/>
                <w:lang w:eastAsia="fr-FR"/>
              </w:rPr>
              <w:t>139,91</w:t>
            </w:r>
          </w:p>
        </w:tc>
        <w:tc>
          <w:tcPr>
            <w:tcW w:w="509" w:type="pct"/>
            <w:noWrap/>
            <w:hideMark/>
          </w:tcPr>
          <w:p w14:paraId="1B648074" w14:textId="5313C018" w:rsidR="00060A0D" w:rsidRPr="00060A0D" w:rsidRDefault="00060A0D" w:rsidP="00060A0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lang w:eastAsia="fr-FR"/>
              </w:rPr>
            </w:pPr>
            <w:r w:rsidRPr="00060A0D">
              <w:rPr>
                <w:rFonts w:ascii="Garamond" w:eastAsia="Times New Roman" w:hAnsi="Garamond" w:cs="Calibri"/>
                <w:lang w:eastAsia="fr-FR"/>
              </w:rPr>
              <w:t>173,60</w:t>
            </w:r>
          </w:p>
        </w:tc>
        <w:tc>
          <w:tcPr>
            <w:tcW w:w="509" w:type="pct"/>
            <w:noWrap/>
            <w:hideMark/>
          </w:tcPr>
          <w:p w14:paraId="79A0971D" w14:textId="73C76166" w:rsidR="00060A0D" w:rsidRPr="00060A0D" w:rsidRDefault="00060A0D" w:rsidP="00060A0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lang w:eastAsia="fr-FR"/>
              </w:rPr>
            </w:pPr>
            <w:r w:rsidRPr="00060A0D">
              <w:rPr>
                <w:rFonts w:ascii="Garamond" w:eastAsia="Times New Roman" w:hAnsi="Garamond" w:cs="Calibri"/>
                <w:lang w:eastAsia="fr-FR"/>
              </w:rPr>
              <w:t>206,23</w:t>
            </w:r>
          </w:p>
        </w:tc>
        <w:tc>
          <w:tcPr>
            <w:tcW w:w="505" w:type="pct"/>
            <w:noWrap/>
            <w:hideMark/>
          </w:tcPr>
          <w:p w14:paraId="20D21D7C" w14:textId="1DF15F75" w:rsidR="00060A0D" w:rsidRPr="00060A0D" w:rsidRDefault="00060A0D" w:rsidP="00060A0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lang w:eastAsia="fr-FR"/>
              </w:rPr>
            </w:pPr>
            <w:r w:rsidRPr="00060A0D">
              <w:rPr>
                <w:rFonts w:ascii="Garamond" w:eastAsia="Times New Roman" w:hAnsi="Garamond" w:cs="Calibri"/>
                <w:lang w:eastAsia="fr-FR"/>
              </w:rPr>
              <w:t>195,80</w:t>
            </w:r>
          </w:p>
        </w:tc>
      </w:tr>
      <w:tr w:rsidR="00F3349F" w:rsidRPr="00F3349F" w14:paraId="7ECD598A" w14:textId="77777777" w:rsidTr="00CA356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41" w:type="pct"/>
            <w:hideMark/>
          </w:tcPr>
          <w:p w14:paraId="3C7EADDA" w14:textId="02C8E178" w:rsidR="00060A0D" w:rsidRPr="00060A0D" w:rsidRDefault="00060A0D" w:rsidP="00060A0D">
            <w:pPr>
              <w:rPr>
                <w:rFonts w:ascii="Garamond" w:eastAsia="Times New Roman" w:hAnsi="Garamond" w:cs="Calibri"/>
                <w:b w:val="0"/>
                <w:bCs w:val="0"/>
                <w:lang w:eastAsia="fr-FR"/>
              </w:rPr>
            </w:pPr>
            <w:r w:rsidRPr="00060A0D">
              <w:rPr>
                <w:rFonts w:ascii="Garamond" w:eastAsia="Times New Roman" w:hAnsi="Garamond" w:cs="Calibri"/>
                <w:lang w:eastAsia="fr-FR"/>
              </w:rPr>
              <w:t xml:space="preserve">Dépenses publiques consacrées à l’éducation </w:t>
            </w:r>
          </w:p>
        </w:tc>
        <w:tc>
          <w:tcPr>
            <w:tcW w:w="509" w:type="pct"/>
            <w:noWrap/>
            <w:hideMark/>
          </w:tcPr>
          <w:p w14:paraId="62E05AD0" w14:textId="09120F4C" w:rsidR="00060A0D" w:rsidRPr="00060A0D" w:rsidRDefault="00060A0D" w:rsidP="00060A0D">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Calibri"/>
                <w:lang w:eastAsia="fr-FR"/>
              </w:rPr>
            </w:pPr>
            <w:r w:rsidRPr="00060A0D">
              <w:rPr>
                <w:rFonts w:ascii="Garamond" w:eastAsia="Times New Roman" w:hAnsi="Garamond" w:cs="Calibri"/>
                <w:lang w:eastAsia="fr-FR"/>
              </w:rPr>
              <w:t>589,82</w:t>
            </w:r>
          </w:p>
        </w:tc>
        <w:tc>
          <w:tcPr>
            <w:tcW w:w="509" w:type="pct"/>
            <w:noWrap/>
            <w:hideMark/>
          </w:tcPr>
          <w:p w14:paraId="5408B680" w14:textId="2D9A8739" w:rsidR="00060A0D" w:rsidRPr="00060A0D" w:rsidRDefault="00060A0D" w:rsidP="00060A0D">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Calibri"/>
                <w:lang w:eastAsia="fr-FR"/>
              </w:rPr>
            </w:pPr>
            <w:r w:rsidRPr="00060A0D">
              <w:rPr>
                <w:rFonts w:ascii="Garamond" w:eastAsia="Times New Roman" w:hAnsi="Garamond" w:cs="Calibri"/>
                <w:lang w:eastAsia="fr-FR"/>
              </w:rPr>
              <w:t>583,95</w:t>
            </w:r>
          </w:p>
        </w:tc>
        <w:tc>
          <w:tcPr>
            <w:tcW w:w="509" w:type="pct"/>
            <w:noWrap/>
            <w:hideMark/>
          </w:tcPr>
          <w:p w14:paraId="6D4E3DA4" w14:textId="39EF545A" w:rsidR="00060A0D" w:rsidRPr="00060A0D" w:rsidRDefault="00060A0D" w:rsidP="00060A0D">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Calibri"/>
                <w:lang w:eastAsia="fr-FR"/>
              </w:rPr>
            </w:pPr>
            <w:r w:rsidRPr="00060A0D">
              <w:rPr>
                <w:rFonts w:ascii="Garamond" w:eastAsia="Times New Roman" w:hAnsi="Garamond" w:cs="Calibri"/>
                <w:lang w:eastAsia="fr-FR"/>
              </w:rPr>
              <w:t>610,28</w:t>
            </w:r>
          </w:p>
        </w:tc>
        <w:tc>
          <w:tcPr>
            <w:tcW w:w="509" w:type="pct"/>
            <w:noWrap/>
            <w:hideMark/>
          </w:tcPr>
          <w:p w14:paraId="6D9FA10E" w14:textId="380458B1" w:rsidR="00060A0D" w:rsidRPr="00060A0D" w:rsidRDefault="00060A0D" w:rsidP="00060A0D">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Calibri"/>
                <w:lang w:eastAsia="fr-FR"/>
              </w:rPr>
            </w:pPr>
            <w:r w:rsidRPr="00060A0D">
              <w:rPr>
                <w:rFonts w:ascii="Garamond" w:eastAsia="Times New Roman" w:hAnsi="Garamond" w:cs="Calibri"/>
                <w:lang w:eastAsia="fr-FR"/>
              </w:rPr>
              <w:t>384,15</w:t>
            </w:r>
          </w:p>
        </w:tc>
        <w:tc>
          <w:tcPr>
            <w:tcW w:w="509" w:type="pct"/>
            <w:noWrap/>
            <w:hideMark/>
          </w:tcPr>
          <w:p w14:paraId="1FF28642" w14:textId="259FF5AE" w:rsidR="00060A0D" w:rsidRPr="00060A0D" w:rsidRDefault="00060A0D" w:rsidP="00060A0D">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Calibri"/>
                <w:lang w:eastAsia="fr-FR"/>
              </w:rPr>
            </w:pPr>
            <w:r w:rsidRPr="00060A0D">
              <w:rPr>
                <w:rFonts w:ascii="Garamond" w:eastAsia="Times New Roman" w:hAnsi="Garamond" w:cs="Calibri"/>
                <w:lang w:eastAsia="fr-FR"/>
              </w:rPr>
              <w:t>633,26</w:t>
            </w:r>
          </w:p>
        </w:tc>
        <w:tc>
          <w:tcPr>
            <w:tcW w:w="509" w:type="pct"/>
            <w:noWrap/>
            <w:hideMark/>
          </w:tcPr>
          <w:p w14:paraId="3615424E" w14:textId="28F3C746" w:rsidR="00060A0D" w:rsidRPr="00060A0D" w:rsidRDefault="00060A0D" w:rsidP="00060A0D">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Calibri"/>
                <w:lang w:eastAsia="fr-FR"/>
              </w:rPr>
            </w:pPr>
            <w:r w:rsidRPr="00060A0D">
              <w:rPr>
                <w:rFonts w:ascii="Garamond" w:eastAsia="Times New Roman" w:hAnsi="Garamond" w:cs="Calibri"/>
                <w:lang w:eastAsia="fr-FR"/>
              </w:rPr>
              <w:t>648,80</w:t>
            </w:r>
          </w:p>
        </w:tc>
        <w:tc>
          <w:tcPr>
            <w:tcW w:w="505" w:type="pct"/>
            <w:noWrap/>
            <w:hideMark/>
          </w:tcPr>
          <w:p w14:paraId="689D8A3E" w14:textId="7F92537E" w:rsidR="00060A0D" w:rsidRPr="00060A0D" w:rsidRDefault="00060A0D" w:rsidP="00060A0D">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Calibri"/>
                <w:lang w:eastAsia="fr-FR"/>
              </w:rPr>
            </w:pPr>
            <w:r w:rsidRPr="00060A0D">
              <w:rPr>
                <w:rFonts w:ascii="Garamond" w:eastAsia="Times New Roman" w:hAnsi="Garamond" w:cs="Calibri"/>
                <w:lang w:eastAsia="fr-FR"/>
              </w:rPr>
              <w:t>663,18</w:t>
            </w:r>
          </w:p>
        </w:tc>
      </w:tr>
      <w:tr w:rsidR="00F3349F" w:rsidRPr="00F3349F" w14:paraId="5EEA3B26" w14:textId="77777777" w:rsidTr="00CA3569">
        <w:trPr>
          <w:trHeight w:val="510"/>
        </w:trPr>
        <w:tc>
          <w:tcPr>
            <w:cnfStyle w:val="001000000000" w:firstRow="0" w:lastRow="0" w:firstColumn="1" w:lastColumn="0" w:oddVBand="0" w:evenVBand="0" w:oddHBand="0" w:evenHBand="0" w:firstRowFirstColumn="0" w:firstRowLastColumn="0" w:lastRowFirstColumn="0" w:lastRowLastColumn="0"/>
            <w:tcW w:w="1441" w:type="pct"/>
            <w:hideMark/>
          </w:tcPr>
          <w:p w14:paraId="08C0590F" w14:textId="77777777" w:rsidR="00060A0D" w:rsidRPr="00060A0D" w:rsidRDefault="00060A0D" w:rsidP="00060A0D">
            <w:pPr>
              <w:rPr>
                <w:rFonts w:ascii="Garamond" w:eastAsia="Times New Roman" w:hAnsi="Garamond" w:cs="Calibri"/>
                <w:lang w:eastAsia="fr-FR"/>
              </w:rPr>
            </w:pPr>
            <w:r w:rsidRPr="00060A0D">
              <w:rPr>
                <w:rFonts w:ascii="Garamond" w:eastAsia="Times New Roman" w:hAnsi="Garamond" w:cs="Calibri"/>
                <w:lang w:eastAsia="fr-FR"/>
              </w:rPr>
              <w:t xml:space="preserve">Dépenses courantes consacrées à l’éducation (total) </w:t>
            </w:r>
          </w:p>
        </w:tc>
        <w:tc>
          <w:tcPr>
            <w:tcW w:w="509" w:type="pct"/>
            <w:noWrap/>
            <w:hideMark/>
          </w:tcPr>
          <w:p w14:paraId="56253711" w14:textId="4C633281" w:rsidR="00060A0D" w:rsidRPr="00060A0D" w:rsidRDefault="00060A0D" w:rsidP="00060A0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lang w:eastAsia="fr-FR"/>
              </w:rPr>
            </w:pPr>
            <w:r w:rsidRPr="00060A0D">
              <w:rPr>
                <w:rFonts w:ascii="Garamond" w:eastAsia="Times New Roman" w:hAnsi="Garamond" w:cs="Calibri"/>
                <w:lang w:eastAsia="fr-FR"/>
              </w:rPr>
              <w:t>549,00</w:t>
            </w:r>
          </w:p>
        </w:tc>
        <w:tc>
          <w:tcPr>
            <w:tcW w:w="509" w:type="pct"/>
            <w:noWrap/>
            <w:hideMark/>
          </w:tcPr>
          <w:p w14:paraId="6CBE5DDE" w14:textId="41DA5328" w:rsidR="00060A0D" w:rsidRPr="00060A0D" w:rsidRDefault="00060A0D" w:rsidP="00060A0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lang w:eastAsia="fr-FR"/>
              </w:rPr>
            </w:pPr>
            <w:r w:rsidRPr="00060A0D">
              <w:rPr>
                <w:rFonts w:ascii="Garamond" w:eastAsia="Times New Roman" w:hAnsi="Garamond" w:cs="Calibri"/>
                <w:lang w:eastAsia="fr-FR"/>
              </w:rPr>
              <w:t>545,36</w:t>
            </w:r>
          </w:p>
        </w:tc>
        <w:tc>
          <w:tcPr>
            <w:tcW w:w="509" w:type="pct"/>
            <w:noWrap/>
            <w:hideMark/>
          </w:tcPr>
          <w:p w14:paraId="5E23ED8E" w14:textId="0C6B200F" w:rsidR="00060A0D" w:rsidRPr="00060A0D" w:rsidRDefault="00060A0D" w:rsidP="00060A0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lang w:eastAsia="fr-FR"/>
              </w:rPr>
            </w:pPr>
            <w:r w:rsidRPr="00060A0D">
              <w:rPr>
                <w:rFonts w:ascii="Garamond" w:eastAsia="Times New Roman" w:hAnsi="Garamond" w:cs="Calibri"/>
                <w:lang w:eastAsia="fr-FR"/>
              </w:rPr>
              <w:t>567,26</w:t>
            </w:r>
          </w:p>
        </w:tc>
        <w:tc>
          <w:tcPr>
            <w:tcW w:w="509" w:type="pct"/>
            <w:noWrap/>
            <w:hideMark/>
          </w:tcPr>
          <w:p w14:paraId="235D4D9C" w14:textId="60404902" w:rsidR="00060A0D" w:rsidRPr="00060A0D" w:rsidRDefault="00060A0D" w:rsidP="00060A0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lang w:eastAsia="fr-FR"/>
              </w:rPr>
            </w:pPr>
            <w:r w:rsidRPr="00060A0D">
              <w:rPr>
                <w:rFonts w:ascii="Garamond" w:eastAsia="Times New Roman" w:hAnsi="Garamond" w:cs="Calibri"/>
                <w:lang w:eastAsia="fr-FR"/>
              </w:rPr>
              <w:t>362,67</w:t>
            </w:r>
          </w:p>
        </w:tc>
        <w:tc>
          <w:tcPr>
            <w:tcW w:w="509" w:type="pct"/>
            <w:noWrap/>
            <w:hideMark/>
          </w:tcPr>
          <w:p w14:paraId="4D771829" w14:textId="626465EA" w:rsidR="00060A0D" w:rsidRPr="00060A0D" w:rsidRDefault="00060A0D" w:rsidP="00060A0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lang w:eastAsia="fr-FR"/>
              </w:rPr>
            </w:pPr>
            <w:r w:rsidRPr="00060A0D">
              <w:rPr>
                <w:rFonts w:ascii="Garamond" w:eastAsia="Times New Roman" w:hAnsi="Garamond" w:cs="Calibri"/>
                <w:lang w:eastAsia="fr-FR"/>
              </w:rPr>
              <w:t>586,60</w:t>
            </w:r>
          </w:p>
        </w:tc>
        <w:tc>
          <w:tcPr>
            <w:tcW w:w="509" w:type="pct"/>
            <w:noWrap/>
            <w:hideMark/>
          </w:tcPr>
          <w:p w14:paraId="6CE6C977" w14:textId="557305F3" w:rsidR="00060A0D" w:rsidRPr="00060A0D" w:rsidRDefault="00060A0D" w:rsidP="00060A0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lang w:eastAsia="fr-FR"/>
              </w:rPr>
            </w:pPr>
            <w:r w:rsidRPr="00060A0D">
              <w:rPr>
                <w:rFonts w:ascii="Garamond" w:eastAsia="Times New Roman" w:hAnsi="Garamond" w:cs="Calibri"/>
                <w:lang w:eastAsia="fr-FR"/>
              </w:rPr>
              <w:t>612,47</w:t>
            </w:r>
          </w:p>
        </w:tc>
        <w:tc>
          <w:tcPr>
            <w:tcW w:w="505" w:type="pct"/>
            <w:noWrap/>
            <w:hideMark/>
          </w:tcPr>
          <w:p w14:paraId="6CCBBBA3" w14:textId="07C74051" w:rsidR="00060A0D" w:rsidRPr="00060A0D" w:rsidRDefault="00060A0D" w:rsidP="00060A0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lang w:eastAsia="fr-FR"/>
              </w:rPr>
            </w:pPr>
            <w:r w:rsidRPr="00060A0D">
              <w:rPr>
                <w:rFonts w:ascii="Garamond" w:eastAsia="Times New Roman" w:hAnsi="Garamond" w:cs="Calibri"/>
                <w:lang w:eastAsia="fr-FR"/>
              </w:rPr>
              <w:t>607,03</w:t>
            </w:r>
          </w:p>
        </w:tc>
      </w:tr>
      <w:tr w:rsidR="00F3349F" w:rsidRPr="00F3349F" w14:paraId="32189B5D" w14:textId="77777777" w:rsidTr="00CA3569">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441" w:type="pct"/>
            <w:hideMark/>
          </w:tcPr>
          <w:p w14:paraId="2ACA544E" w14:textId="77777777" w:rsidR="00060A0D" w:rsidRPr="00060A0D" w:rsidRDefault="00060A0D" w:rsidP="00060A0D">
            <w:pPr>
              <w:ind w:firstLineChars="100" w:firstLine="220"/>
              <w:rPr>
                <w:rFonts w:ascii="Garamond" w:eastAsia="Times New Roman" w:hAnsi="Garamond" w:cs="Calibri"/>
                <w:i/>
                <w:iCs/>
                <w:lang w:eastAsia="fr-FR"/>
              </w:rPr>
            </w:pPr>
            <w:r w:rsidRPr="00060A0D">
              <w:rPr>
                <w:rFonts w:ascii="Garamond" w:eastAsia="Times New Roman" w:hAnsi="Garamond" w:cs="Calibri"/>
                <w:i/>
                <w:iCs/>
                <w:lang w:eastAsia="fr-FR"/>
              </w:rPr>
              <w:t xml:space="preserve">Dépenses d'éducation en traitements et salaires </w:t>
            </w:r>
          </w:p>
        </w:tc>
        <w:tc>
          <w:tcPr>
            <w:tcW w:w="509" w:type="pct"/>
            <w:noWrap/>
            <w:hideMark/>
          </w:tcPr>
          <w:p w14:paraId="2F10F18E" w14:textId="1A035E13" w:rsidR="00060A0D" w:rsidRPr="00060A0D" w:rsidRDefault="00060A0D" w:rsidP="00060A0D">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Calibri"/>
                <w:lang w:eastAsia="fr-FR"/>
              </w:rPr>
            </w:pPr>
            <w:r w:rsidRPr="00060A0D">
              <w:rPr>
                <w:rFonts w:ascii="Garamond" w:eastAsia="Times New Roman" w:hAnsi="Garamond" w:cs="Calibri"/>
                <w:lang w:eastAsia="fr-FR"/>
              </w:rPr>
              <w:t>388,03</w:t>
            </w:r>
          </w:p>
        </w:tc>
        <w:tc>
          <w:tcPr>
            <w:tcW w:w="509" w:type="pct"/>
            <w:noWrap/>
            <w:hideMark/>
          </w:tcPr>
          <w:p w14:paraId="380F976C" w14:textId="4A23D572" w:rsidR="00060A0D" w:rsidRPr="00060A0D" w:rsidRDefault="00060A0D" w:rsidP="00060A0D">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Calibri"/>
                <w:lang w:eastAsia="fr-FR"/>
              </w:rPr>
            </w:pPr>
            <w:r w:rsidRPr="00060A0D">
              <w:rPr>
                <w:rFonts w:ascii="Garamond" w:eastAsia="Times New Roman" w:hAnsi="Garamond" w:cs="Calibri"/>
                <w:lang w:eastAsia="fr-FR"/>
              </w:rPr>
              <w:t>387,65</w:t>
            </w:r>
          </w:p>
        </w:tc>
        <w:tc>
          <w:tcPr>
            <w:tcW w:w="509" w:type="pct"/>
            <w:noWrap/>
            <w:hideMark/>
          </w:tcPr>
          <w:p w14:paraId="4930E4F9" w14:textId="7E042610" w:rsidR="00060A0D" w:rsidRPr="00060A0D" w:rsidRDefault="00060A0D" w:rsidP="00060A0D">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Calibri"/>
                <w:lang w:eastAsia="fr-FR"/>
              </w:rPr>
            </w:pPr>
            <w:r w:rsidRPr="00060A0D">
              <w:rPr>
                <w:rFonts w:ascii="Garamond" w:eastAsia="Times New Roman" w:hAnsi="Garamond" w:cs="Calibri"/>
                <w:lang w:eastAsia="fr-FR"/>
              </w:rPr>
              <w:t>533,00</w:t>
            </w:r>
          </w:p>
        </w:tc>
        <w:tc>
          <w:tcPr>
            <w:tcW w:w="509" w:type="pct"/>
            <w:noWrap/>
            <w:hideMark/>
          </w:tcPr>
          <w:p w14:paraId="73CCFD05" w14:textId="1455AC6A" w:rsidR="00060A0D" w:rsidRPr="00060A0D" w:rsidRDefault="00060A0D" w:rsidP="00060A0D">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Calibri"/>
                <w:lang w:eastAsia="fr-FR"/>
              </w:rPr>
            </w:pPr>
            <w:r w:rsidRPr="00060A0D">
              <w:rPr>
                <w:rFonts w:ascii="Garamond" w:eastAsia="Times New Roman" w:hAnsi="Garamond" w:cs="Calibri"/>
                <w:lang w:eastAsia="fr-FR"/>
              </w:rPr>
              <w:t>330,91</w:t>
            </w:r>
          </w:p>
        </w:tc>
        <w:tc>
          <w:tcPr>
            <w:tcW w:w="509" w:type="pct"/>
            <w:noWrap/>
            <w:hideMark/>
          </w:tcPr>
          <w:p w14:paraId="1A139D7B" w14:textId="3C69024E" w:rsidR="00060A0D" w:rsidRPr="00060A0D" w:rsidRDefault="00060A0D" w:rsidP="00060A0D">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Calibri"/>
                <w:lang w:eastAsia="fr-FR"/>
              </w:rPr>
            </w:pPr>
            <w:r w:rsidRPr="00060A0D">
              <w:rPr>
                <w:rFonts w:ascii="Garamond" w:eastAsia="Times New Roman" w:hAnsi="Garamond" w:cs="Calibri"/>
                <w:lang w:eastAsia="fr-FR"/>
              </w:rPr>
              <w:t>414,48</w:t>
            </w:r>
          </w:p>
        </w:tc>
        <w:tc>
          <w:tcPr>
            <w:tcW w:w="509" w:type="pct"/>
            <w:noWrap/>
            <w:hideMark/>
          </w:tcPr>
          <w:p w14:paraId="7D8D4A7A" w14:textId="092A1240" w:rsidR="00060A0D" w:rsidRPr="00060A0D" w:rsidRDefault="00060A0D" w:rsidP="00060A0D">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Calibri"/>
                <w:lang w:eastAsia="fr-FR"/>
              </w:rPr>
            </w:pPr>
            <w:r w:rsidRPr="00060A0D">
              <w:rPr>
                <w:rFonts w:ascii="Garamond" w:eastAsia="Times New Roman" w:hAnsi="Garamond" w:cs="Calibri"/>
                <w:lang w:eastAsia="fr-FR"/>
              </w:rPr>
              <w:t>445,75</w:t>
            </w:r>
          </w:p>
        </w:tc>
        <w:tc>
          <w:tcPr>
            <w:tcW w:w="505" w:type="pct"/>
            <w:noWrap/>
            <w:hideMark/>
          </w:tcPr>
          <w:p w14:paraId="306F1F82" w14:textId="6F70422C" w:rsidR="00060A0D" w:rsidRPr="00060A0D" w:rsidRDefault="00060A0D" w:rsidP="00060A0D">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Calibri"/>
                <w:lang w:eastAsia="fr-FR"/>
              </w:rPr>
            </w:pPr>
            <w:r w:rsidRPr="00060A0D">
              <w:rPr>
                <w:rFonts w:ascii="Garamond" w:eastAsia="Times New Roman" w:hAnsi="Garamond" w:cs="Calibri"/>
                <w:lang w:eastAsia="fr-FR"/>
              </w:rPr>
              <w:t>438,87</w:t>
            </w:r>
          </w:p>
        </w:tc>
      </w:tr>
      <w:tr w:rsidR="00F3349F" w:rsidRPr="00F3349F" w14:paraId="3A0CC601" w14:textId="77777777" w:rsidTr="00CA3569">
        <w:trPr>
          <w:trHeight w:val="612"/>
        </w:trPr>
        <w:tc>
          <w:tcPr>
            <w:cnfStyle w:val="001000000000" w:firstRow="0" w:lastRow="0" w:firstColumn="1" w:lastColumn="0" w:oddVBand="0" w:evenVBand="0" w:oddHBand="0" w:evenHBand="0" w:firstRowFirstColumn="0" w:firstRowLastColumn="0" w:lastRowFirstColumn="0" w:lastRowLastColumn="0"/>
            <w:tcW w:w="1441" w:type="pct"/>
            <w:hideMark/>
          </w:tcPr>
          <w:p w14:paraId="1131B26A" w14:textId="77777777" w:rsidR="00060A0D" w:rsidRPr="00060A0D" w:rsidRDefault="00060A0D" w:rsidP="00060A0D">
            <w:pPr>
              <w:ind w:firstLineChars="100" w:firstLine="220"/>
              <w:rPr>
                <w:rFonts w:ascii="Garamond" w:eastAsia="Times New Roman" w:hAnsi="Garamond" w:cs="Calibri"/>
                <w:i/>
                <w:iCs/>
                <w:lang w:eastAsia="fr-FR"/>
              </w:rPr>
            </w:pPr>
            <w:r w:rsidRPr="00060A0D">
              <w:rPr>
                <w:rFonts w:ascii="Garamond" w:eastAsia="Times New Roman" w:hAnsi="Garamond" w:cs="Calibri"/>
                <w:i/>
                <w:iCs/>
                <w:lang w:eastAsia="fr-FR"/>
              </w:rPr>
              <w:t xml:space="preserve">Dépenses courantes d'éducation non salariales/traitements </w:t>
            </w:r>
          </w:p>
        </w:tc>
        <w:tc>
          <w:tcPr>
            <w:tcW w:w="509" w:type="pct"/>
            <w:noWrap/>
            <w:hideMark/>
          </w:tcPr>
          <w:p w14:paraId="3A9644EE" w14:textId="76135F07" w:rsidR="00060A0D" w:rsidRPr="00060A0D" w:rsidRDefault="00060A0D" w:rsidP="00060A0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lang w:eastAsia="fr-FR"/>
              </w:rPr>
            </w:pPr>
            <w:r w:rsidRPr="00060A0D">
              <w:rPr>
                <w:rFonts w:ascii="Garamond" w:eastAsia="Times New Roman" w:hAnsi="Garamond" w:cs="Calibri"/>
                <w:lang w:eastAsia="fr-FR"/>
              </w:rPr>
              <w:t>160,97</w:t>
            </w:r>
          </w:p>
        </w:tc>
        <w:tc>
          <w:tcPr>
            <w:tcW w:w="509" w:type="pct"/>
            <w:noWrap/>
            <w:hideMark/>
          </w:tcPr>
          <w:p w14:paraId="31DF2FAF" w14:textId="685BC472" w:rsidR="00060A0D" w:rsidRPr="00060A0D" w:rsidRDefault="00060A0D" w:rsidP="00060A0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lang w:eastAsia="fr-FR"/>
              </w:rPr>
            </w:pPr>
            <w:r w:rsidRPr="00060A0D">
              <w:rPr>
                <w:rFonts w:ascii="Garamond" w:eastAsia="Times New Roman" w:hAnsi="Garamond" w:cs="Calibri"/>
                <w:lang w:eastAsia="fr-FR"/>
              </w:rPr>
              <w:t>157,71</w:t>
            </w:r>
          </w:p>
        </w:tc>
        <w:tc>
          <w:tcPr>
            <w:tcW w:w="509" w:type="pct"/>
            <w:noWrap/>
            <w:hideMark/>
          </w:tcPr>
          <w:p w14:paraId="5A352284" w14:textId="53FA51B9" w:rsidR="00060A0D" w:rsidRPr="00060A0D" w:rsidRDefault="00060A0D" w:rsidP="00060A0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lang w:eastAsia="fr-FR"/>
              </w:rPr>
            </w:pPr>
            <w:r w:rsidRPr="00060A0D">
              <w:rPr>
                <w:rFonts w:ascii="Garamond" w:eastAsia="Times New Roman" w:hAnsi="Garamond" w:cs="Calibri"/>
                <w:lang w:eastAsia="fr-FR"/>
              </w:rPr>
              <w:t>34,26</w:t>
            </w:r>
          </w:p>
        </w:tc>
        <w:tc>
          <w:tcPr>
            <w:tcW w:w="509" w:type="pct"/>
            <w:noWrap/>
            <w:hideMark/>
          </w:tcPr>
          <w:p w14:paraId="437A08E8" w14:textId="2A6D841C" w:rsidR="00060A0D" w:rsidRPr="00060A0D" w:rsidRDefault="00060A0D" w:rsidP="00060A0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lang w:eastAsia="fr-FR"/>
              </w:rPr>
            </w:pPr>
            <w:r w:rsidRPr="00060A0D">
              <w:rPr>
                <w:rFonts w:ascii="Garamond" w:eastAsia="Times New Roman" w:hAnsi="Garamond" w:cs="Calibri"/>
                <w:lang w:eastAsia="fr-FR"/>
              </w:rPr>
              <w:t>31,76</w:t>
            </w:r>
          </w:p>
        </w:tc>
        <w:tc>
          <w:tcPr>
            <w:tcW w:w="509" w:type="pct"/>
            <w:noWrap/>
            <w:hideMark/>
          </w:tcPr>
          <w:p w14:paraId="3BB475C9" w14:textId="1EADE24F" w:rsidR="00060A0D" w:rsidRPr="00060A0D" w:rsidRDefault="00060A0D" w:rsidP="00060A0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lang w:eastAsia="fr-FR"/>
              </w:rPr>
            </w:pPr>
            <w:r w:rsidRPr="00060A0D">
              <w:rPr>
                <w:rFonts w:ascii="Garamond" w:eastAsia="Times New Roman" w:hAnsi="Garamond" w:cs="Calibri"/>
                <w:lang w:eastAsia="fr-FR"/>
              </w:rPr>
              <w:t>172,11</w:t>
            </w:r>
          </w:p>
        </w:tc>
        <w:tc>
          <w:tcPr>
            <w:tcW w:w="509" w:type="pct"/>
            <w:noWrap/>
            <w:hideMark/>
          </w:tcPr>
          <w:p w14:paraId="15178121" w14:textId="2B8C8783" w:rsidR="00060A0D" w:rsidRPr="00060A0D" w:rsidRDefault="00060A0D" w:rsidP="00060A0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lang w:eastAsia="fr-FR"/>
              </w:rPr>
            </w:pPr>
            <w:r w:rsidRPr="00060A0D">
              <w:rPr>
                <w:rFonts w:ascii="Garamond" w:eastAsia="Times New Roman" w:hAnsi="Garamond" w:cs="Calibri"/>
                <w:lang w:eastAsia="fr-FR"/>
              </w:rPr>
              <w:t>166,72</w:t>
            </w:r>
          </w:p>
        </w:tc>
        <w:tc>
          <w:tcPr>
            <w:tcW w:w="505" w:type="pct"/>
            <w:noWrap/>
            <w:hideMark/>
          </w:tcPr>
          <w:p w14:paraId="41C1920D" w14:textId="71892300" w:rsidR="00060A0D" w:rsidRPr="00060A0D" w:rsidRDefault="00060A0D" w:rsidP="00060A0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lang w:eastAsia="fr-FR"/>
              </w:rPr>
            </w:pPr>
            <w:r w:rsidRPr="00060A0D">
              <w:rPr>
                <w:rFonts w:ascii="Garamond" w:eastAsia="Times New Roman" w:hAnsi="Garamond" w:cs="Calibri"/>
                <w:lang w:eastAsia="fr-FR"/>
              </w:rPr>
              <w:t>168,15</w:t>
            </w:r>
          </w:p>
        </w:tc>
      </w:tr>
      <w:tr w:rsidR="00F3349F" w:rsidRPr="00F3349F" w14:paraId="59BE258A" w14:textId="77777777" w:rsidTr="00CA3569">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441" w:type="pct"/>
            <w:hideMark/>
          </w:tcPr>
          <w:p w14:paraId="16F7EA1A" w14:textId="77777777" w:rsidR="00060A0D" w:rsidRPr="00060A0D" w:rsidRDefault="00060A0D" w:rsidP="00060A0D">
            <w:pPr>
              <w:ind w:firstLineChars="100" w:firstLine="220"/>
              <w:rPr>
                <w:rFonts w:ascii="Garamond" w:eastAsia="Times New Roman" w:hAnsi="Garamond" w:cs="Calibri"/>
                <w:lang w:eastAsia="fr-FR"/>
              </w:rPr>
            </w:pPr>
            <w:r w:rsidRPr="00060A0D">
              <w:rPr>
                <w:rFonts w:ascii="Garamond" w:eastAsia="Times New Roman" w:hAnsi="Garamond" w:cs="Calibri"/>
                <w:lang w:eastAsia="fr-FR"/>
              </w:rPr>
              <w:t>Dépenses d'éducation en investissement</w:t>
            </w:r>
          </w:p>
        </w:tc>
        <w:tc>
          <w:tcPr>
            <w:tcW w:w="509" w:type="pct"/>
            <w:noWrap/>
            <w:hideMark/>
          </w:tcPr>
          <w:p w14:paraId="3FDCAF9A" w14:textId="5DF4F030" w:rsidR="00060A0D" w:rsidRPr="00060A0D" w:rsidRDefault="00060A0D" w:rsidP="00060A0D">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Calibri"/>
                <w:lang w:eastAsia="fr-FR"/>
              </w:rPr>
            </w:pPr>
            <w:r w:rsidRPr="00060A0D">
              <w:rPr>
                <w:rFonts w:ascii="Garamond" w:eastAsia="Times New Roman" w:hAnsi="Garamond" w:cs="Calibri"/>
                <w:lang w:eastAsia="fr-FR"/>
              </w:rPr>
              <w:t>40,82</w:t>
            </w:r>
          </w:p>
        </w:tc>
        <w:tc>
          <w:tcPr>
            <w:tcW w:w="509" w:type="pct"/>
            <w:noWrap/>
            <w:hideMark/>
          </w:tcPr>
          <w:p w14:paraId="10497DB7" w14:textId="1A7B4B2D" w:rsidR="00060A0D" w:rsidRPr="00060A0D" w:rsidRDefault="00060A0D" w:rsidP="00060A0D">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Calibri"/>
                <w:lang w:eastAsia="fr-FR"/>
              </w:rPr>
            </w:pPr>
            <w:r w:rsidRPr="00060A0D">
              <w:rPr>
                <w:rFonts w:ascii="Garamond" w:eastAsia="Times New Roman" w:hAnsi="Garamond" w:cs="Calibri"/>
                <w:lang w:eastAsia="fr-FR"/>
              </w:rPr>
              <w:t>38,59</w:t>
            </w:r>
          </w:p>
        </w:tc>
        <w:tc>
          <w:tcPr>
            <w:tcW w:w="509" w:type="pct"/>
            <w:noWrap/>
            <w:hideMark/>
          </w:tcPr>
          <w:p w14:paraId="6E6895FE" w14:textId="1C7CA5D1" w:rsidR="00060A0D" w:rsidRPr="00060A0D" w:rsidRDefault="00060A0D" w:rsidP="00060A0D">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Calibri"/>
                <w:lang w:eastAsia="fr-FR"/>
              </w:rPr>
            </w:pPr>
            <w:r w:rsidRPr="00060A0D">
              <w:rPr>
                <w:rFonts w:ascii="Garamond" w:eastAsia="Times New Roman" w:hAnsi="Garamond" w:cs="Calibri"/>
                <w:lang w:eastAsia="fr-FR"/>
              </w:rPr>
              <w:t>43,02</w:t>
            </w:r>
          </w:p>
        </w:tc>
        <w:tc>
          <w:tcPr>
            <w:tcW w:w="509" w:type="pct"/>
            <w:noWrap/>
            <w:hideMark/>
          </w:tcPr>
          <w:p w14:paraId="3D4F1A2C" w14:textId="0155C14B" w:rsidR="00060A0D" w:rsidRPr="00060A0D" w:rsidRDefault="00060A0D" w:rsidP="00060A0D">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Calibri"/>
                <w:lang w:eastAsia="fr-FR"/>
              </w:rPr>
            </w:pPr>
            <w:r w:rsidRPr="00060A0D">
              <w:rPr>
                <w:rFonts w:ascii="Garamond" w:eastAsia="Times New Roman" w:hAnsi="Garamond" w:cs="Calibri"/>
                <w:lang w:eastAsia="fr-FR"/>
              </w:rPr>
              <w:t>21,47</w:t>
            </w:r>
          </w:p>
        </w:tc>
        <w:tc>
          <w:tcPr>
            <w:tcW w:w="509" w:type="pct"/>
            <w:noWrap/>
            <w:hideMark/>
          </w:tcPr>
          <w:p w14:paraId="1EABEF37" w14:textId="5A3E1009" w:rsidR="00060A0D" w:rsidRPr="00060A0D" w:rsidRDefault="00060A0D" w:rsidP="00060A0D">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Calibri"/>
                <w:lang w:eastAsia="fr-FR"/>
              </w:rPr>
            </w:pPr>
            <w:r w:rsidRPr="00060A0D">
              <w:rPr>
                <w:rFonts w:ascii="Garamond" w:eastAsia="Times New Roman" w:hAnsi="Garamond" w:cs="Calibri"/>
                <w:lang w:eastAsia="fr-FR"/>
              </w:rPr>
              <w:t>46,66</w:t>
            </w:r>
          </w:p>
        </w:tc>
        <w:tc>
          <w:tcPr>
            <w:tcW w:w="509" w:type="pct"/>
            <w:noWrap/>
            <w:hideMark/>
          </w:tcPr>
          <w:p w14:paraId="4504D3AB" w14:textId="298C615E" w:rsidR="00060A0D" w:rsidRPr="00060A0D" w:rsidRDefault="00060A0D" w:rsidP="00060A0D">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Calibri"/>
                <w:lang w:eastAsia="fr-FR"/>
              </w:rPr>
            </w:pPr>
            <w:r w:rsidRPr="00060A0D">
              <w:rPr>
                <w:rFonts w:ascii="Garamond" w:eastAsia="Times New Roman" w:hAnsi="Garamond" w:cs="Calibri"/>
                <w:lang w:eastAsia="fr-FR"/>
              </w:rPr>
              <w:t>36,34</w:t>
            </w:r>
          </w:p>
        </w:tc>
        <w:tc>
          <w:tcPr>
            <w:tcW w:w="505" w:type="pct"/>
            <w:noWrap/>
            <w:hideMark/>
          </w:tcPr>
          <w:p w14:paraId="653913EC" w14:textId="144AE318" w:rsidR="00060A0D" w:rsidRPr="00060A0D" w:rsidRDefault="00060A0D" w:rsidP="00060A0D">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Calibri"/>
                <w:lang w:eastAsia="fr-FR"/>
              </w:rPr>
            </w:pPr>
            <w:r w:rsidRPr="00060A0D">
              <w:rPr>
                <w:rFonts w:ascii="Garamond" w:eastAsia="Times New Roman" w:hAnsi="Garamond" w:cs="Calibri"/>
                <w:lang w:eastAsia="fr-FR"/>
              </w:rPr>
              <w:t>56,15</w:t>
            </w:r>
          </w:p>
        </w:tc>
      </w:tr>
    </w:tbl>
    <w:p w14:paraId="496A8E9A" w14:textId="77777777" w:rsidR="00EC778C" w:rsidRDefault="00EC778C" w:rsidP="00EC2BA8">
      <w:pPr>
        <w:jc w:val="both"/>
        <w:rPr>
          <w:rFonts w:ascii="Times New Roman" w:hAnsi="Times New Roman" w:cs="Times New Roman"/>
          <w:sz w:val="28"/>
          <w:szCs w:val="28"/>
        </w:rPr>
      </w:pPr>
    </w:p>
    <w:p w14:paraId="207A0D98" w14:textId="77777777" w:rsidR="00186ABD" w:rsidRDefault="00186ABD" w:rsidP="00EC2BA8">
      <w:pPr>
        <w:jc w:val="both"/>
        <w:rPr>
          <w:rFonts w:ascii="Times New Roman" w:hAnsi="Times New Roman" w:cs="Times New Roman"/>
          <w:sz w:val="28"/>
          <w:szCs w:val="28"/>
        </w:rPr>
      </w:pPr>
    </w:p>
    <w:p w14:paraId="32F53484" w14:textId="0398E659" w:rsidR="003767F4" w:rsidRDefault="003767F4">
      <w:pPr>
        <w:rPr>
          <w:rFonts w:ascii="Times New Roman" w:hAnsi="Times New Roman" w:cs="Times New Roman"/>
          <w:sz w:val="28"/>
          <w:szCs w:val="28"/>
        </w:rPr>
      </w:pPr>
      <w:r>
        <w:rPr>
          <w:rFonts w:ascii="Times New Roman" w:hAnsi="Times New Roman" w:cs="Times New Roman"/>
          <w:sz w:val="28"/>
          <w:szCs w:val="28"/>
        </w:rPr>
        <w:br w:type="page"/>
      </w:r>
    </w:p>
    <w:p w14:paraId="69D7F870" w14:textId="77777777" w:rsidR="003767F4" w:rsidRDefault="003767F4" w:rsidP="00EC2BA8">
      <w:pPr>
        <w:jc w:val="both"/>
        <w:rPr>
          <w:rFonts w:ascii="Times New Roman" w:hAnsi="Times New Roman" w:cs="Times New Roman"/>
          <w:sz w:val="28"/>
          <w:szCs w:val="28"/>
        </w:rPr>
        <w:sectPr w:rsidR="003767F4" w:rsidSect="00EC778C">
          <w:pgSz w:w="16838" w:h="11906" w:orient="landscape"/>
          <w:pgMar w:top="1418" w:right="1418" w:bottom="1418" w:left="1418" w:header="709" w:footer="709" w:gutter="0"/>
          <w:cols w:space="708"/>
          <w:docGrid w:linePitch="360"/>
        </w:sectPr>
      </w:pPr>
    </w:p>
    <w:p w14:paraId="1D62D654" w14:textId="77777777" w:rsidR="003767F4" w:rsidRDefault="003767F4" w:rsidP="003767F4">
      <w:pPr>
        <w:autoSpaceDE w:val="0"/>
        <w:autoSpaceDN w:val="0"/>
        <w:adjustRightInd w:val="0"/>
        <w:spacing w:after="0" w:line="240" w:lineRule="auto"/>
        <w:rPr>
          <w:rFonts w:ascii="Times New Roman" w:hAnsi="Times New Roman" w:cs="Times New Roman"/>
          <w:sz w:val="28"/>
          <w:szCs w:val="28"/>
        </w:rPr>
      </w:pPr>
      <w:r w:rsidRPr="003767F4">
        <w:rPr>
          <w:rFonts w:ascii="Times New Roman" w:hAnsi="Times New Roman" w:cs="Times New Roman"/>
          <w:b/>
          <w:bCs/>
          <w:sz w:val="28"/>
          <w:szCs w:val="28"/>
        </w:rPr>
        <w:lastRenderedPageBreak/>
        <w:t>TAF</w:t>
      </w:r>
      <w:proofErr w:type="gramStart"/>
      <w:r>
        <w:rPr>
          <w:rFonts w:ascii="Times New Roman" w:hAnsi="Times New Roman" w:cs="Times New Roman"/>
          <w:b/>
          <w:bCs/>
          <w:sz w:val="28"/>
          <w:szCs w:val="28"/>
        </w:rPr>
        <w:t>3</w:t>
      </w:r>
      <w:r w:rsidRPr="003767F4">
        <w:rPr>
          <w:rFonts w:ascii="Times New Roman" w:hAnsi="Times New Roman" w:cs="Times New Roman"/>
          <w:b/>
          <w:bCs/>
          <w:sz w:val="28"/>
          <w:szCs w:val="28"/>
        </w:rPr>
        <w:t>:</w:t>
      </w:r>
      <w:proofErr w:type="gramEnd"/>
      <w:r>
        <w:rPr>
          <w:rFonts w:ascii="Times New Roman" w:hAnsi="Times New Roman" w:cs="Times New Roman"/>
          <w:sz w:val="28"/>
          <w:szCs w:val="28"/>
        </w:rPr>
        <w:t xml:space="preserve"> </w:t>
      </w:r>
    </w:p>
    <w:p w14:paraId="73C50EBB" w14:textId="63B19376" w:rsidR="003767F4" w:rsidRDefault="003767F4" w:rsidP="003767F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Relever 5 constats majeurs dans le chapitre 3</w:t>
      </w:r>
      <w:r>
        <w:rPr>
          <w:rFonts w:ascii="HelveticaNeueLT-Bold" w:hAnsi="HelveticaNeueLT-Bold" w:cs="HelveticaNeueLT-Bold"/>
          <w:b/>
          <w:bCs/>
          <w:sz w:val="17"/>
          <w:szCs w:val="17"/>
        </w:rPr>
        <w:t xml:space="preserve"> : </w:t>
      </w:r>
      <w:r w:rsidRPr="003767F4">
        <w:rPr>
          <w:rFonts w:ascii="Times New Roman" w:hAnsi="Times New Roman" w:cs="Times New Roman"/>
          <w:sz w:val="28"/>
          <w:szCs w:val="28"/>
        </w:rPr>
        <w:t>Coûts et financement du système éducatif :</w:t>
      </w:r>
      <w:r>
        <w:rPr>
          <w:rFonts w:ascii="Times New Roman" w:hAnsi="Times New Roman" w:cs="Times New Roman"/>
          <w:sz w:val="28"/>
          <w:szCs w:val="28"/>
        </w:rPr>
        <w:t xml:space="preserve"> </w:t>
      </w:r>
      <w:r w:rsidRPr="003767F4">
        <w:rPr>
          <w:rFonts w:ascii="Times New Roman" w:hAnsi="Times New Roman" w:cs="Times New Roman"/>
          <w:sz w:val="28"/>
          <w:szCs w:val="28"/>
        </w:rPr>
        <w:t>quelles marges de manœuvre </w:t>
      </w:r>
      <w:r>
        <w:rPr>
          <w:rFonts w:ascii="Times New Roman" w:hAnsi="Times New Roman" w:cs="Times New Roman"/>
          <w:sz w:val="28"/>
          <w:szCs w:val="28"/>
        </w:rPr>
        <w:t>du RESEN BF 2017.</w:t>
      </w:r>
    </w:p>
    <w:p w14:paraId="1BC98D9F" w14:textId="77777777" w:rsidR="00186ABD" w:rsidRPr="00013AB9" w:rsidRDefault="00186ABD" w:rsidP="00EC2BA8">
      <w:pPr>
        <w:jc w:val="both"/>
        <w:rPr>
          <w:rFonts w:ascii="Times New Roman" w:hAnsi="Times New Roman" w:cs="Times New Roman"/>
          <w:sz w:val="28"/>
          <w:szCs w:val="28"/>
        </w:rPr>
      </w:pPr>
    </w:p>
    <w:sectPr w:rsidR="00186ABD" w:rsidRPr="00013AB9" w:rsidSect="003767F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7ACA9" w14:textId="77777777" w:rsidR="0080642A" w:rsidRDefault="0080642A" w:rsidP="003767F4">
      <w:pPr>
        <w:spacing w:after="0" w:line="240" w:lineRule="auto"/>
      </w:pPr>
      <w:r>
        <w:separator/>
      </w:r>
    </w:p>
  </w:endnote>
  <w:endnote w:type="continuationSeparator" w:id="0">
    <w:p w14:paraId="186A97DA" w14:textId="77777777" w:rsidR="0080642A" w:rsidRDefault="0080642A" w:rsidP="00376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NeueLT-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9993080"/>
      <w:docPartObj>
        <w:docPartGallery w:val="Page Numbers (Bottom of Page)"/>
        <w:docPartUnique/>
      </w:docPartObj>
    </w:sdtPr>
    <w:sdtEndPr/>
    <w:sdtContent>
      <w:p w14:paraId="27F069CC" w14:textId="072CB76C" w:rsidR="003767F4" w:rsidRDefault="003767F4">
        <w:pPr>
          <w:pStyle w:val="Pieddepage"/>
          <w:jc w:val="right"/>
        </w:pPr>
        <w:r>
          <w:fldChar w:fldCharType="begin"/>
        </w:r>
        <w:r>
          <w:instrText>PAGE   \* MERGEFORMAT</w:instrText>
        </w:r>
        <w:r>
          <w:fldChar w:fldCharType="separate"/>
        </w:r>
        <w:r w:rsidR="003D1745">
          <w:rPr>
            <w:noProof/>
          </w:rPr>
          <w:t>1</w:t>
        </w:r>
        <w:r>
          <w:fldChar w:fldCharType="end"/>
        </w:r>
      </w:p>
    </w:sdtContent>
  </w:sdt>
  <w:p w14:paraId="7B2B6261" w14:textId="77777777" w:rsidR="003767F4" w:rsidRDefault="003767F4">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B6308" w14:textId="77777777" w:rsidR="0080642A" w:rsidRDefault="0080642A" w:rsidP="003767F4">
      <w:pPr>
        <w:spacing w:after="0" w:line="240" w:lineRule="auto"/>
      </w:pPr>
      <w:r>
        <w:separator/>
      </w:r>
    </w:p>
  </w:footnote>
  <w:footnote w:type="continuationSeparator" w:id="0">
    <w:p w14:paraId="6DD93118" w14:textId="77777777" w:rsidR="0080642A" w:rsidRDefault="0080642A" w:rsidP="003767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B54175"/>
    <w:multiLevelType w:val="hybridMultilevel"/>
    <w:tmpl w:val="CEFE7628"/>
    <w:lvl w:ilvl="0" w:tplc="02F6EA44">
      <w:start w:val="1"/>
      <w:numFmt w:val="lowerLetter"/>
      <w:lvlText w:val="%1)"/>
      <w:lvlJc w:val="left"/>
      <w:pPr>
        <w:ind w:left="473" w:hanging="360"/>
      </w:pPr>
      <w:rPr>
        <w:rFonts w:hint="default"/>
        <w:b/>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BA8"/>
    <w:rsid w:val="00013AB9"/>
    <w:rsid w:val="00060A0D"/>
    <w:rsid w:val="001611D7"/>
    <w:rsid w:val="00186ABD"/>
    <w:rsid w:val="002B2AB6"/>
    <w:rsid w:val="003767F4"/>
    <w:rsid w:val="003D1745"/>
    <w:rsid w:val="004B7D4E"/>
    <w:rsid w:val="005D46EA"/>
    <w:rsid w:val="0080642A"/>
    <w:rsid w:val="00880D0F"/>
    <w:rsid w:val="008C7A44"/>
    <w:rsid w:val="00A064ED"/>
    <w:rsid w:val="00A23198"/>
    <w:rsid w:val="00AA7785"/>
    <w:rsid w:val="00B205D8"/>
    <w:rsid w:val="00B2203D"/>
    <w:rsid w:val="00BE2FC1"/>
    <w:rsid w:val="00C62234"/>
    <w:rsid w:val="00CA3569"/>
    <w:rsid w:val="00D23D12"/>
    <w:rsid w:val="00EA2CB0"/>
    <w:rsid w:val="00EC2BA8"/>
    <w:rsid w:val="00EC778C"/>
    <w:rsid w:val="00F334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D7B52"/>
  <w15:chartTrackingRefBased/>
  <w15:docId w15:val="{2F3E6390-0E7E-4DE7-865B-4428C4EA4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A7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2-Accentuation1">
    <w:name w:val="Grid Table 2 Accent 1"/>
    <w:basedOn w:val="TableauNormal"/>
    <w:uiPriority w:val="47"/>
    <w:rsid w:val="008C7A44"/>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Paragraphedeliste">
    <w:name w:val="List Paragraph"/>
    <w:basedOn w:val="Normal"/>
    <w:uiPriority w:val="34"/>
    <w:qFormat/>
    <w:rsid w:val="00186ABD"/>
    <w:pPr>
      <w:ind w:left="720"/>
      <w:contextualSpacing/>
    </w:pPr>
  </w:style>
  <w:style w:type="paragraph" w:styleId="En-tte">
    <w:name w:val="header"/>
    <w:basedOn w:val="Normal"/>
    <w:link w:val="En-tteCar"/>
    <w:uiPriority w:val="99"/>
    <w:unhideWhenUsed/>
    <w:rsid w:val="003767F4"/>
    <w:pPr>
      <w:tabs>
        <w:tab w:val="center" w:pos="4536"/>
        <w:tab w:val="right" w:pos="9072"/>
      </w:tabs>
      <w:spacing w:after="0" w:line="240" w:lineRule="auto"/>
    </w:pPr>
  </w:style>
  <w:style w:type="character" w:customStyle="1" w:styleId="En-tteCar">
    <w:name w:val="En-tête Car"/>
    <w:basedOn w:val="Policepardfaut"/>
    <w:link w:val="En-tte"/>
    <w:uiPriority w:val="99"/>
    <w:rsid w:val="003767F4"/>
  </w:style>
  <w:style w:type="paragraph" w:styleId="Pieddepage">
    <w:name w:val="footer"/>
    <w:basedOn w:val="Normal"/>
    <w:link w:val="PieddepageCar"/>
    <w:uiPriority w:val="99"/>
    <w:unhideWhenUsed/>
    <w:rsid w:val="003767F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76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73451">
      <w:bodyDiv w:val="1"/>
      <w:marLeft w:val="0"/>
      <w:marRight w:val="0"/>
      <w:marTop w:val="0"/>
      <w:marBottom w:val="0"/>
      <w:divBdr>
        <w:top w:val="none" w:sz="0" w:space="0" w:color="auto"/>
        <w:left w:val="none" w:sz="0" w:space="0" w:color="auto"/>
        <w:bottom w:val="none" w:sz="0" w:space="0" w:color="auto"/>
        <w:right w:val="none" w:sz="0" w:space="0" w:color="auto"/>
      </w:divBdr>
    </w:div>
    <w:div w:id="573972809">
      <w:bodyDiv w:val="1"/>
      <w:marLeft w:val="0"/>
      <w:marRight w:val="0"/>
      <w:marTop w:val="0"/>
      <w:marBottom w:val="0"/>
      <w:divBdr>
        <w:top w:val="none" w:sz="0" w:space="0" w:color="auto"/>
        <w:left w:val="none" w:sz="0" w:space="0" w:color="auto"/>
        <w:bottom w:val="none" w:sz="0" w:space="0" w:color="auto"/>
        <w:right w:val="none" w:sz="0" w:space="0" w:color="auto"/>
      </w:divBdr>
    </w:div>
    <w:div w:id="707680207">
      <w:bodyDiv w:val="1"/>
      <w:marLeft w:val="0"/>
      <w:marRight w:val="0"/>
      <w:marTop w:val="0"/>
      <w:marBottom w:val="0"/>
      <w:divBdr>
        <w:top w:val="none" w:sz="0" w:space="0" w:color="auto"/>
        <w:left w:val="none" w:sz="0" w:space="0" w:color="auto"/>
        <w:bottom w:val="none" w:sz="0" w:space="0" w:color="auto"/>
        <w:right w:val="none" w:sz="0" w:space="0" w:color="auto"/>
      </w:divBdr>
    </w:div>
    <w:div w:id="833840958">
      <w:bodyDiv w:val="1"/>
      <w:marLeft w:val="0"/>
      <w:marRight w:val="0"/>
      <w:marTop w:val="0"/>
      <w:marBottom w:val="0"/>
      <w:divBdr>
        <w:top w:val="none" w:sz="0" w:space="0" w:color="auto"/>
        <w:left w:val="none" w:sz="0" w:space="0" w:color="auto"/>
        <w:bottom w:val="none" w:sz="0" w:space="0" w:color="auto"/>
        <w:right w:val="none" w:sz="0" w:space="0" w:color="auto"/>
      </w:divBdr>
    </w:div>
    <w:div w:id="1108353371">
      <w:bodyDiv w:val="1"/>
      <w:marLeft w:val="0"/>
      <w:marRight w:val="0"/>
      <w:marTop w:val="0"/>
      <w:marBottom w:val="0"/>
      <w:divBdr>
        <w:top w:val="none" w:sz="0" w:space="0" w:color="auto"/>
        <w:left w:val="none" w:sz="0" w:space="0" w:color="auto"/>
        <w:bottom w:val="none" w:sz="0" w:space="0" w:color="auto"/>
        <w:right w:val="none" w:sz="0" w:space="0" w:color="auto"/>
      </w:divBdr>
    </w:div>
    <w:div w:id="1240796362">
      <w:bodyDiv w:val="1"/>
      <w:marLeft w:val="0"/>
      <w:marRight w:val="0"/>
      <w:marTop w:val="0"/>
      <w:marBottom w:val="0"/>
      <w:divBdr>
        <w:top w:val="none" w:sz="0" w:space="0" w:color="auto"/>
        <w:left w:val="none" w:sz="0" w:space="0" w:color="auto"/>
        <w:bottom w:val="none" w:sz="0" w:space="0" w:color="auto"/>
        <w:right w:val="none" w:sz="0" w:space="0" w:color="auto"/>
      </w:divBdr>
    </w:div>
    <w:div w:id="1516651049">
      <w:bodyDiv w:val="1"/>
      <w:marLeft w:val="0"/>
      <w:marRight w:val="0"/>
      <w:marTop w:val="0"/>
      <w:marBottom w:val="0"/>
      <w:divBdr>
        <w:top w:val="none" w:sz="0" w:space="0" w:color="auto"/>
        <w:left w:val="none" w:sz="0" w:space="0" w:color="auto"/>
        <w:bottom w:val="none" w:sz="0" w:space="0" w:color="auto"/>
        <w:right w:val="none" w:sz="0" w:space="0" w:color="auto"/>
      </w:divBdr>
    </w:div>
    <w:div w:id="204481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5</Pages>
  <Words>629</Words>
  <Characters>3591</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BAGRE</dc:creator>
  <cp:keywords/>
  <dc:description/>
  <cp:lastModifiedBy>Kpèonbar</cp:lastModifiedBy>
  <cp:revision>19</cp:revision>
  <dcterms:created xsi:type="dcterms:W3CDTF">2022-04-20T11:50:00Z</dcterms:created>
  <dcterms:modified xsi:type="dcterms:W3CDTF">2022-04-20T18:16:00Z</dcterms:modified>
</cp:coreProperties>
</file>