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D799" w14:textId="77777777" w:rsidR="00EE1433" w:rsidRPr="00A501FC" w:rsidRDefault="00EE1433" w:rsidP="00EE1433">
      <w:pPr>
        <w:spacing w:after="11" w:line="259" w:lineRule="auto"/>
        <w:ind w:left="885" w:hanging="10"/>
        <w:jc w:val="center"/>
        <w:rPr>
          <w:rFonts w:ascii="Arial Rounded MT Bold" w:hAnsi="Arial Rounded MT Bold" w:cs="Arial"/>
          <w:b/>
          <w:bCs/>
          <w:sz w:val="24"/>
          <w:szCs w:val="24"/>
        </w:rPr>
      </w:pPr>
      <w:r w:rsidRPr="00A501FC">
        <w:rPr>
          <w:rFonts w:ascii="Arial Rounded MT Bold" w:hAnsi="Arial Rounded MT Bold" w:cs="Arial"/>
          <w:b/>
          <w:bCs/>
          <w:sz w:val="24"/>
          <w:szCs w:val="24"/>
        </w:rPr>
        <w:t>Introduction</w:t>
      </w:r>
    </w:p>
    <w:p w14:paraId="12880797" w14:textId="77777777" w:rsidR="00EE1433" w:rsidRPr="00A501FC" w:rsidRDefault="00EE1433" w:rsidP="00EE1433">
      <w:pPr>
        <w:spacing w:after="426"/>
        <w:ind w:right="45"/>
        <w:rPr>
          <w:rFonts w:ascii="Arial Rounded MT Bold" w:hAnsi="Arial Rounded MT Bold" w:cs="Arial"/>
          <w:sz w:val="24"/>
          <w:szCs w:val="24"/>
        </w:rPr>
      </w:pPr>
    </w:p>
    <w:p w14:paraId="0797DAC4" w14:textId="77777777" w:rsidR="00EE1433" w:rsidRPr="00A501FC" w:rsidRDefault="00EE1433" w:rsidP="00EE1433">
      <w:pPr>
        <w:spacing w:after="426"/>
        <w:ind w:left="0" w:right="45" w:firstLine="0"/>
        <w:rPr>
          <w:rFonts w:ascii="Arial Rounded MT Bold" w:hAnsi="Arial Rounded MT Bold" w:cs="Arial"/>
          <w:sz w:val="24"/>
          <w:szCs w:val="24"/>
        </w:rPr>
      </w:pPr>
      <w:r w:rsidRPr="00A501FC">
        <w:rPr>
          <w:rFonts w:ascii="Arial Rounded MT Bold" w:hAnsi="Arial Rounded MT Bold" w:cs="Arial"/>
          <w:sz w:val="24"/>
          <w:szCs w:val="24"/>
        </w:rPr>
        <w:t xml:space="preserve">Les politiques publiques de formation professionnelle continue ont pour finalité le développement des compétences professionnelles de la population active, dans son ensemble ou en ciblant certaines populations jugées prioritaires. Elles ont pour objectifs l’insertion (ou la réinsertion) professionnelle, le maintien et l’évolution dans l’emploi et la mobilité professionnelle (géographique ou promotionnelle). Elles sont mises en œuvre par des institutions publiques. La dimension publique est prise ici dans une acception large donnant le caractère public tant à la démocratie politique (les pouvoirs publics) qu’à la démocratie sociale (les partenaires sociaux). Ces politiques sont au carrefour des politiques d’éducation et d’insertion des jeunes, des politiques de compétitivité économique et des politiques de cohésion sociale. De ce fait, elles constituent un objet de compétence partagée entre l’Etat, les conseils régionaux et les partenaires sociaux. </w:t>
      </w:r>
    </w:p>
    <w:p w14:paraId="67B03970" w14:textId="77777777" w:rsidR="00EE1433" w:rsidRPr="00A501FC" w:rsidRDefault="00EE1433" w:rsidP="00EE1433">
      <w:pPr>
        <w:spacing w:after="11" w:line="259" w:lineRule="auto"/>
        <w:jc w:val="left"/>
        <w:rPr>
          <w:rFonts w:ascii="Arial Rounded MT Bold" w:hAnsi="Arial Rounded MT Bold" w:cs="Arial"/>
          <w:b/>
          <w:bCs/>
          <w:sz w:val="24"/>
          <w:szCs w:val="24"/>
        </w:rPr>
      </w:pPr>
      <w:r w:rsidRPr="00A501FC">
        <w:rPr>
          <w:rFonts w:ascii="Arial Rounded MT Bold" w:hAnsi="Arial Rounded MT Bold" w:cs="Arial"/>
          <w:b/>
          <w:bCs/>
          <w:sz w:val="24"/>
          <w:szCs w:val="24"/>
        </w:rPr>
        <w:t xml:space="preserve">Les objectifs du cours </w:t>
      </w:r>
    </w:p>
    <w:p w14:paraId="6E986C47" w14:textId="77777777" w:rsidR="00EE1433" w:rsidRPr="00A501FC" w:rsidRDefault="00EE1433" w:rsidP="00EE1433">
      <w:pPr>
        <w:spacing w:after="65"/>
        <w:ind w:left="875" w:right="45"/>
        <w:rPr>
          <w:rFonts w:ascii="Arial Rounded MT Bold" w:hAnsi="Arial Rounded MT Bold" w:cs="Arial"/>
          <w:sz w:val="24"/>
          <w:szCs w:val="24"/>
        </w:rPr>
      </w:pPr>
    </w:p>
    <w:p w14:paraId="687EE3E4" w14:textId="77777777" w:rsidR="00EE1433" w:rsidRPr="00A501FC" w:rsidRDefault="00EE1433" w:rsidP="00EE1433">
      <w:pPr>
        <w:spacing w:after="65"/>
        <w:ind w:right="45"/>
        <w:rPr>
          <w:rFonts w:ascii="Arial Rounded MT Bold" w:hAnsi="Arial Rounded MT Bold" w:cs="Arial"/>
          <w:sz w:val="24"/>
          <w:szCs w:val="24"/>
        </w:rPr>
      </w:pPr>
      <w:r w:rsidRPr="00A501FC">
        <w:rPr>
          <w:rFonts w:ascii="Arial Rounded MT Bold" w:hAnsi="Arial Rounded MT Bold" w:cs="Arial"/>
          <w:sz w:val="24"/>
          <w:szCs w:val="24"/>
        </w:rPr>
        <w:t>Le cours a pour objectifs de permettre au futur ingénieur de formation</w:t>
      </w:r>
      <w:r>
        <w:rPr>
          <w:rFonts w:ascii="Arial Rounded MT Bold" w:hAnsi="Arial Rounded MT Bold" w:cs="Arial"/>
          <w:sz w:val="24"/>
          <w:szCs w:val="24"/>
        </w:rPr>
        <w:t xml:space="preserve"> </w:t>
      </w:r>
      <w:r w:rsidRPr="00A501FC">
        <w:rPr>
          <w:rFonts w:ascii="Arial Rounded MT Bold" w:hAnsi="Arial Rounded MT Bold" w:cs="Arial"/>
          <w:sz w:val="24"/>
          <w:szCs w:val="24"/>
        </w:rPr>
        <w:t xml:space="preserve">: </w:t>
      </w:r>
    </w:p>
    <w:p w14:paraId="66F984A8" w14:textId="77777777" w:rsidR="00EE1433" w:rsidRPr="00EE1433" w:rsidRDefault="00EE1433" w:rsidP="00EE1433">
      <w:pPr>
        <w:pStyle w:val="Paragraphedeliste"/>
        <w:numPr>
          <w:ilvl w:val="0"/>
          <w:numId w:val="4"/>
        </w:numPr>
        <w:spacing w:after="67"/>
        <w:rPr>
          <w:rFonts w:ascii="Arial Rounded MT Bold" w:hAnsi="Arial Rounded MT Bold" w:cs="Arial"/>
          <w:sz w:val="24"/>
          <w:szCs w:val="24"/>
        </w:rPr>
      </w:pPr>
      <w:proofErr w:type="gramStart"/>
      <w:r w:rsidRPr="00EE1433">
        <w:rPr>
          <w:rFonts w:ascii="Arial Rounded MT Bold" w:hAnsi="Arial Rounded MT Bold" w:cs="Arial"/>
          <w:sz w:val="24"/>
          <w:szCs w:val="24"/>
        </w:rPr>
        <w:t>d’être</w:t>
      </w:r>
      <w:proofErr w:type="gramEnd"/>
      <w:r w:rsidRPr="00EE1433">
        <w:rPr>
          <w:rFonts w:ascii="Arial Rounded MT Bold" w:hAnsi="Arial Rounded MT Bold" w:cs="Arial"/>
          <w:sz w:val="24"/>
          <w:szCs w:val="24"/>
        </w:rPr>
        <w:t xml:space="preserve"> capable de dresser la cartographie des politiques publiques de formation professionnelle continue ; </w:t>
      </w:r>
    </w:p>
    <w:p w14:paraId="0D631147" w14:textId="77777777" w:rsidR="00EE1433" w:rsidRPr="00EE1433" w:rsidRDefault="00EE1433" w:rsidP="00EE1433">
      <w:pPr>
        <w:pStyle w:val="Paragraphedeliste"/>
        <w:numPr>
          <w:ilvl w:val="0"/>
          <w:numId w:val="4"/>
        </w:numPr>
        <w:spacing w:after="67"/>
        <w:rPr>
          <w:rFonts w:ascii="Arial Rounded MT Bold" w:hAnsi="Arial Rounded MT Bold" w:cs="Arial"/>
          <w:sz w:val="24"/>
          <w:szCs w:val="24"/>
        </w:rPr>
      </w:pPr>
      <w:proofErr w:type="gramStart"/>
      <w:r w:rsidRPr="00EE1433">
        <w:rPr>
          <w:rFonts w:ascii="Arial Rounded MT Bold" w:hAnsi="Arial Rounded MT Bold" w:cs="Arial"/>
          <w:sz w:val="24"/>
          <w:szCs w:val="24"/>
        </w:rPr>
        <w:t>d’être</w:t>
      </w:r>
      <w:proofErr w:type="gramEnd"/>
      <w:r w:rsidRPr="00EE1433">
        <w:rPr>
          <w:rFonts w:ascii="Arial Rounded MT Bold" w:hAnsi="Arial Rounded MT Bold" w:cs="Arial"/>
          <w:sz w:val="24"/>
          <w:szCs w:val="24"/>
        </w:rPr>
        <w:t xml:space="preserve"> capable de repérer les acteurs décisionnaires de ces politiques, leurs compétences, leurs enjeux et leurs outils ; </w:t>
      </w:r>
    </w:p>
    <w:p w14:paraId="2C9A8804" w14:textId="77777777" w:rsidR="00EE1433" w:rsidRPr="00EE1433" w:rsidRDefault="00EE1433" w:rsidP="00EE1433">
      <w:pPr>
        <w:pStyle w:val="Paragraphedeliste"/>
        <w:numPr>
          <w:ilvl w:val="0"/>
          <w:numId w:val="4"/>
        </w:numPr>
        <w:spacing w:after="423"/>
        <w:rPr>
          <w:rFonts w:ascii="Arial Rounded MT Bold" w:hAnsi="Arial Rounded MT Bold" w:cs="Arial"/>
          <w:sz w:val="24"/>
          <w:szCs w:val="24"/>
        </w:rPr>
      </w:pPr>
      <w:proofErr w:type="gramStart"/>
      <w:r w:rsidRPr="00EE1433">
        <w:rPr>
          <w:rFonts w:ascii="Arial Rounded MT Bold" w:hAnsi="Arial Rounded MT Bold" w:cs="Arial"/>
          <w:sz w:val="24"/>
          <w:szCs w:val="24"/>
        </w:rPr>
        <w:t>d’être</w:t>
      </w:r>
      <w:proofErr w:type="gramEnd"/>
      <w:r w:rsidRPr="00EE1433">
        <w:rPr>
          <w:rFonts w:ascii="Arial Rounded MT Bold" w:hAnsi="Arial Rounded MT Bold" w:cs="Arial"/>
          <w:sz w:val="24"/>
          <w:szCs w:val="24"/>
        </w:rPr>
        <w:t xml:space="preserve"> capable d’analyser les éléments constitutifs d’une politique publique : objectifs, dispositifs, financement, évaluation. </w:t>
      </w:r>
    </w:p>
    <w:p w14:paraId="3F60D646" w14:textId="77777777" w:rsidR="00EE1433" w:rsidRPr="00A501FC" w:rsidRDefault="00EE1433" w:rsidP="00EE1433">
      <w:pPr>
        <w:spacing w:after="11" w:line="259" w:lineRule="auto"/>
        <w:jc w:val="left"/>
        <w:rPr>
          <w:rFonts w:ascii="Arial Rounded MT Bold" w:hAnsi="Arial Rounded MT Bold" w:cs="Arial"/>
          <w:b/>
          <w:bCs/>
          <w:sz w:val="24"/>
          <w:szCs w:val="24"/>
        </w:rPr>
      </w:pPr>
      <w:r w:rsidRPr="00A501FC">
        <w:rPr>
          <w:rFonts w:ascii="Arial Rounded MT Bold" w:hAnsi="Arial Rounded MT Bold" w:cs="Arial"/>
          <w:b/>
          <w:bCs/>
          <w:sz w:val="24"/>
          <w:szCs w:val="24"/>
        </w:rPr>
        <w:t xml:space="preserve">La structure du cours </w:t>
      </w:r>
    </w:p>
    <w:p w14:paraId="01090696" w14:textId="77777777" w:rsidR="00EE1433" w:rsidRPr="00A501FC" w:rsidRDefault="00EE1433" w:rsidP="00EE1433">
      <w:pPr>
        <w:spacing w:after="71"/>
        <w:ind w:left="875" w:right="45"/>
        <w:rPr>
          <w:rFonts w:ascii="Arial Rounded MT Bold" w:hAnsi="Arial Rounded MT Bold" w:cs="Arial"/>
          <w:sz w:val="24"/>
          <w:szCs w:val="24"/>
        </w:rPr>
      </w:pPr>
    </w:p>
    <w:p w14:paraId="524E6316" w14:textId="77777777" w:rsidR="00EE1433" w:rsidRPr="00A501FC" w:rsidRDefault="00EE1433" w:rsidP="00EE1433">
      <w:pPr>
        <w:spacing w:after="71"/>
        <w:ind w:right="45"/>
        <w:rPr>
          <w:rFonts w:ascii="Arial Rounded MT Bold" w:hAnsi="Arial Rounded MT Bold" w:cs="Arial"/>
          <w:sz w:val="24"/>
          <w:szCs w:val="24"/>
        </w:rPr>
      </w:pPr>
      <w:r w:rsidRPr="00A501FC">
        <w:rPr>
          <w:rFonts w:ascii="Arial Rounded MT Bold" w:hAnsi="Arial Rounded MT Bold" w:cs="Arial"/>
          <w:sz w:val="24"/>
          <w:szCs w:val="24"/>
        </w:rPr>
        <w:t xml:space="preserve">Le cours ne vise pas à décrire de manière exhaustive la totalité des politiques publiques de formation professionnelle continue mais de donner au futur ingénieur de formation les clés pour en analyser le contenu. Pour cela, le cours propose deux entrées : </w:t>
      </w:r>
    </w:p>
    <w:p w14:paraId="243C1E7C" w14:textId="77777777" w:rsidR="00EE1433" w:rsidRPr="00EE1433" w:rsidRDefault="00EE1433" w:rsidP="00EE1433">
      <w:pPr>
        <w:pStyle w:val="Paragraphedeliste"/>
        <w:numPr>
          <w:ilvl w:val="0"/>
          <w:numId w:val="3"/>
        </w:numPr>
        <w:spacing w:after="67"/>
        <w:rPr>
          <w:rFonts w:ascii="Arial Rounded MT Bold" w:hAnsi="Arial Rounded MT Bold" w:cs="Arial"/>
          <w:sz w:val="24"/>
          <w:szCs w:val="24"/>
        </w:rPr>
      </w:pPr>
      <w:proofErr w:type="gramStart"/>
      <w:r w:rsidRPr="00EE1433">
        <w:rPr>
          <w:rFonts w:ascii="Arial Rounded MT Bold" w:hAnsi="Arial Rounded MT Bold" w:cs="Arial"/>
          <w:sz w:val="24"/>
          <w:szCs w:val="24"/>
        </w:rPr>
        <w:t>une</w:t>
      </w:r>
      <w:proofErr w:type="gramEnd"/>
      <w:r w:rsidRPr="00EE1433">
        <w:rPr>
          <w:rFonts w:ascii="Arial Rounded MT Bold" w:hAnsi="Arial Rounded MT Bold" w:cs="Arial"/>
          <w:sz w:val="24"/>
          <w:szCs w:val="24"/>
        </w:rPr>
        <w:t xml:space="preserve"> entrée par les institutions porteuses, à travers deux exemples : les politiques de formation professionnelle continue des conseils régionaux (chapitre 2) et celles des partenaires sociaux (chapitre 3) ; </w:t>
      </w:r>
    </w:p>
    <w:p w14:paraId="316A31AC" w14:textId="77777777" w:rsidR="00EE1433" w:rsidRPr="00EE1433" w:rsidRDefault="00EE1433" w:rsidP="00EE1433">
      <w:pPr>
        <w:pStyle w:val="Paragraphedeliste"/>
        <w:numPr>
          <w:ilvl w:val="0"/>
          <w:numId w:val="3"/>
        </w:numPr>
        <w:rPr>
          <w:rFonts w:ascii="Arial Rounded MT Bold" w:hAnsi="Arial Rounded MT Bold" w:cs="Arial"/>
          <w:sz w:val="24"/>
          <w:szCs w:val="24"/>
        </w:rPr>
      </w:pPr>
      <w:proofErr w:type="gramStart"/>
      <w:r w:rsidRPr="00EE1433">
        <w:rPr>
          <w:rFonts w:ascii="Arial Rounded MT Bold" w:hAnsi="Arial Rounded MT Bold" w:cs="Arial"/>
          <w:sz w:val="24"/>
          <w:szCs w:val="24"/>
        </w:rPr>
        <w:t>une</w:t>
      </w:r>
      <w:proofErr w:type="gramEnd"/>
      <w:r w:rsidRPr="00EE1433">
        <w:rPr>
          <w:rFonts w:ascii="Arial Rounded MT Bold" w:hAnsi="Arial Rounded MT Bold" w:cs="Arial"/>
          <w:sz w:val="24"/>
          <w:szCs w:val="24"/>
        </w:rPr>
        <w:t xml:space="preserve"> entrée par les finalités à travers l’exemple de la formation des demandeurs d’emploi (chapitre 4). </w:t>
      </w:r>
    </w:p>
    <w:p w14:paraId="611583DC" w14:textId="77777777" w:rsidR="00EE1433" w:rsidRDefault="00EE1433" w:rsidP="00EE1433">
      <w:pPr>
        <w:spacing w:after="140"/>
        <w:ind w:right="45"/>
        <w:rPr>
          <w:rFonts w:ascii="Arial Rounded MT Bold" w:hAnsi="Arial Rounded MT Bold" w:cs="Arial"/>
          <w:sz w:val="24"/>
          <w:szCs w:val="24"/>
        </w:rPr>
      </w:pPr>
    </w:p>
    <w:p w14:paraId="6C8FFCBB" w14:textId="24836DBC" w:rsidR="00EE1433" w:rsidRPr="00A501FC" w:rsidRDefault="00EE1433" w:rsidP="00EE1433">
      <w:pPr>
        <w:spacing w:after="140"/>
        <w:ind w:right="45"/>
        <w:rPr>
          <w:rFonts w:ascii="Arial Rounded MT Bold" w:hAnsi="Arial Rounded MT Bold" w:cs="Arial"/>
          <w:sz w:val="24"/>
          <w:szCs w:val="24"/>
        </w:rPr>
      </w:pPr>
      <w:r w:rsidRPr="00A501FC">
        <w:rPr>
          <w:rFonts w:ascii="Arial Rounded MT Bold" w:hAnsi="Arial Rounded MT Bold" w:cs="Arial"/>
          <w:sz w:val="24"/>
          <w:szCs w:val="24"/>
        </w:rPr>
        <w:t xml:space="preserve">Il a été fait le choix de grouper la bibliographie à la fin du cours, et non de la détailler dans chaque chapitre. En effet, beaucoup de références peuvent être rattachées à plusieurs chapitres compte tenu de l’imbrication des sujets. </w:t>
      </w:r>
    </w:p>
    <w:p w14:paraId="3DC3C123" w14:textId="77777777" w:rsidR="00242282" w:rsidRDefault="00242282"/>
    <w:sectPr w:rsidR="00242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34B2"/>
    <w:multiLevelType w:val="hybridMultilevel"/>
    <w:tmpl w:val="A96C0E8A"/>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abstractNum w:abstractNumId="1" w15:restartNumberingAfterBreak="0">
    <w:nsid w:val="3296688F"/>
    <w:multiLevelType w:val="hybridMultilevel"/>
    <w:tmpl w:val="22E04892"/>
    <w:lvl w:ilvl="0" w:tplc="040C0001">
      <w:start w:val="1"/>
      <w:numFmt w:val="bullet"/>
      <w:lvlText w:val=""/>
      <w:lvlJc w:val="left"/>
      <w:pPr>
        <w:ind w:left="11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4E91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0A2B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6A304">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E00C2A">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CE6B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474B0">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CA83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89DB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466079"/>
    <w:multiLevelType w:val="hybridMultilevel"/>
    <w:tmpl w:val="8F623BBA"/>
    <w:lvl w:ilvl="0" w:tplc="040C0001">
      <w:start w:val="1"/>
      <w:numFmt w:val="bullet"/>
      <w:lvlText w:val=""/>
      <w:lvlJc w:val="left"/>
      <w:pPr>
        <w:ind w:left="11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4E91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0A2B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6A304">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E00C2A">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CE6B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474B0">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CA83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89DB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8D255B6"/>
    <w:multiLevelType w:val="hybridMultilevel"/>
    <w:tmpl w:val="BD00460C"/>
    <w:lvl w:ilvl="0" w:tplc="040C0001">
      <w:start w:val="1"/>
      <w:numFmt w:val="bullet"/>
      <w:lvlText w:val=""/>
      <w:lvlJc w:val="left"/>
      <w:pPr>
        <w:ind w:left="749" w:hanging="360"/>
      </w:pPr>
      <w:rPr>
        <w:rFonts w:ascii="Symbol" w:hAnsi="Symbol" w:hint="default"/>
      </w:rPr>
    </w:lvl>
    <w:lvl w:ilvl="1" w:tplc="040C0003" w:tentative="1">
      <w:start w:val="1"/>
      <w:numFmt w:val="bullet"/>
      <w:lvlText w:val="o"/>
      <w:lvlJc w:val="left"/>
      <w:pPr>
        <w:ind w:left="1469" w:hanging="360"/>
      </w:pPr>
      <w:rPr>
        <w:rFonts w:ascii="Courier New" w:hAnsi="Courier New" w:cs="Courier New" w:hint="default"/>
      </w:rPr>
    </w:lvl>
    <w:lvl w:ilvl="2" w:tplc="040C0005" w:tentative="1">
      <w:start w:val="1"/>
      <w:numFmt w:val="bullet"/>
      <w:lvlText w:val=""/>
      <w:lvlJc w:val="left"/>
      <w:pPr>
        <w:ind w:left="2189" w:hanging="360"/>
      </w:pPr>
      <w:rPr>
        <w:rFonts w:ascii="Wingdings" w:hAnsi="Wingdings" w:hint="default"/>
      </w:rPr>
    </w:lvl>
    <w:lvl w:ilvl="3" w:tplc="040C0001" w:tentative="1">
      <w:start w:val="1"/>
      <w:numFmt w:val="bullet"/>
      <w:lvlText w:val=""/>
      <w:lvlJc w:val="left"/>
      <w:pPr>
        <w:ind w:left="2909" w:hanging="360"/>
      </w:pPr>
      <w:rPr>
        <w:rFonts w:ascii="Symbol" w:hAnsi="Symbol" w:hint="default"/>
      </w:rPr>
    </w:lvl>
    <w:lvl w:ilvl="4" w:tplc="040C0003" w:tentative="1">
      <w:start w:val="1"/>
      <w:numFmt w:val="bullet"/>
      <w:lvlText w:val="o"/>
      <w:lvlJc w:val="left"/>
      <w:pPr>
        <w:ind w:left="3629" w:hanging="360"/>
      </w:pPr>
      <w:rPr>
        <w:rFonts w:ascii="Courier New" w:hAnsi="Courier New" w:cs="Courier New" w:hint="default"/>
      </w:rPr>
    </w:lvl>
    <w:lvl w:ilvl="5" w:tplc="040C0005" w:tentative="1">
      <w:start w:val="1"/>
      <w:numFmt w:val="bullet"/>
      <w:lvlText w:val=""/>
      <w:lvlJc w:val="left"/>
      <w:pPr>
        <w:ind w:left="4349" w:hanging="360"/>
      </w:pPr>
      <w:rPr>
        <w:rFonts w:ascii="Wingdings" w:hAnsi="Wingdings" w:hint="default"/>
      </w:rPr>
    </w:lvl>
    <w:lvl w:ilvl="6" w:tplc="040C0001" w:tentative="1">
      <w:start w:val="1"/>
      <w:numFmt w:val="bullet"/>
      <w:lvlText w:val=""/>
      <w:lvlJc w:val="left"/>
      <w:pPr>
        <w:ind w:left="5069" w:hanging="360"/>
      </w:pPr>
      <w:rPr>
        <w:rFonts w:ascii="Symbol" w:hAnsi="Symbol" w:hint="default"/>
      </w:rPr>
    </w:lvl>
    <w:lvl w:ilvl="7" w:tplc="040C0003" w:tentative="1">
      <w:start w:val="1"/>
      <w:numFmt w:val="bullet"/>
      <w:lvlText w:val="o"/>
      <w:lvlJc w:val="left"/>
      <w:pPr>
        <w:ind w:left="5789" w:hanging="360"/>
      </w:pPr>
      <w:rPr>
        <w:rFonts w:ascii="Courier New" w:hAnsi="Courier New" w:cs="Courier New" w:hint="default"/>
      </w:rPr>
    </w:lvl>
    <w:lvl w:ilvl="8" w:tplc="040C0005" w:tentative="1">
      <w:start w:val="1"/>
      <w:numFmt w:val="bullet"/>
      <w:lvlText w:val=""/>
      <w:lvlJc w:val="left"/>
      <w:pPr>
        <w:ind w:left="650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33"/>
    <w:rsid w:val="001E6BA8"/>
    <w:rsid w:val="00242282"/>
    <w:rsid w:val="00EE1433"/>
    <w:rsid w:val="00F93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D7AC"/>
  <w15:chartTrackingRefBased/>
  <w15:docId w15:val="{CFC377FB-EEE7-4237-AB74-1EE8E459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433"/>
    <w:pPr>
      <w:spacing w:after="110" w:line="244" w:lineRule="auto"/>
      <w:ind w:left="24" w:firstLine="5"/>
      <w:jc w:val="both"/>
    </w:pPr>
    <w:rPr>
      <w:rFonts w:ascii="Calibri" w:eastAsia="Calibri" w:hAnsi="Calibri" w:cs="Calibri"/>
      <w:color w:val="00000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1919</Characters>
  <Application>Microsoft Office Word</Application>
  <DocSecurity>0</DocSecurity>
  <Lines>15</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2020-11-10T12:30:00Z</dcterms:created>
  <dcterms:modified xsi:type="dcterms:W3CDTF">2020-11-10T12:33:00Z</dcterms:modified>
</cp:coreProperties>
</file>